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realizados en concepto de patrocinio:</w:t>
      </w:r>
    </w:p>
    <w:p>
      <w:pPr>
        <w:pStyle w:val="Normal"/>
        <w:numPr>
          <w:ilvl w:val="0"/>
          <w:numId w:val="0"/>
        </w:numPr>
        <w:ind w:left="720" w:hanging="0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  <w:t>- En el ejercicio 2023, no hubieron gastos.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LibreOffice/7.4.5.1$Windows_X86_64 LibreOffice_project/9c0871452b3918c1019dde9bfac75448afc4b57f</Application>
  <AppVersion>15.0000</AppVersion>
  <Pages>1</Pages>
  <Words>16</Words>
  <Characters>77</Characters>
  <CharactersWithSpaces>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2023-10-25T14:35:28Z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