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-4169410</wp:posOffset>
                </wp:positionH>
                <wp:positionV relativeFrom="paragraph">
                  <wp:posOffset>3653790</wp:posOffset>
                </wp:positionV>
                <wp:extent cx="7520940" cy="531495"/>
                <wp:effectExtent l="16510" t="1270" r="16510" b="127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5000">
                          <a:off x="0" y="0"/>
                          <a:ext cx="7521120" cy="53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Arial" w:hAnsi="Arial" w:cs="Arial"/>
                                <w:lang w:val="es-ES_tradnl"/>
                              </w:rPr>
                              <w:t>Servicios Municipales de Granadilla de Abona, S.L. B38711248, Lugar Plaza Gonzalez, Mena s/n, 38600, Granadilla de Abona. Tf: 922 758 116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-328.3pt;margin-top:287.7pt;width:592.15pt;height:41.8pt;mso-wrap-style:square;v-text-anchor:middle;rotation:270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14"/>
                          <w:szCs w:val="14"/>
                          <w:rFonts w:ascii="Arial" w:hAnsi="Arial" w:cs="Arial"/>
                          <w:lang w:val="es-ES_tradnl"/>
                        </w:rPr>
                        <w:t>Servicios Municipales de Granadilla de Abona, S.L. B38711248, Lugar Plaza Gonzalez, Mena s/n, 38600, Granadilla de Abona. Tf: 922 758 116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drawing>
          <wp:anchor behindDoc="0" distT="0" distB="0" distL="114935" distR="114935" simplePos="0" locked="0" layoutInCell="0" allowOverlap="1" relativeHeight="7">
            <wp:simplePos x="0" y="0"/>
            <wp:positionH relativeFrom="column">
              <wp:posOffset>-94615</wp:posOffset>
            </wp:positionH>
            <wp:positionV relativeFrom="paragraph">
              <wp:posOffset>-891540</wp:posOffset>
            </wp:positionV>
            <wp:extent cx="1412875" cy="618490"/>
            <wp:effectExtent l="0" t="0" r="0" b="0"/>
            <wp:wrapSquare wrapText="bothSides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-1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ACTA DE LA MESA DE CONTRATACIÓN</w:t>
      </w:r>
    </w:p>
    <w:p>
      <w:pPr>
        <w:pStyle w:val="Normal"/>
        <w:ind w:hanging="0" w:left="0" w:right="0"/>
        <w:jc w:val="center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jc w:val="left"/>
        <w:rPr>
          <w:rFonts w:ascii="Arial" w:hAnsi="Arial"/>
          <w:sz w:val="20"/>
          <w:szCs w:val="20"/>
        </w:rPr>
      </w:pPr>
      <w:r>
        <w:rPr>
          <w:rFonts w:ascii="Amiri" w:hAnsi="Amiri"/>
          <w:b/>
          <w:sz w:val="24"/>
          <w:szCs w:val="24"/>
        </w:rPr>
        <w:t xml:space="preserve">Expediente de contratación </w:t>
      </w:r>
      <w:r>
        <w:rPr>
          <w:rFonts w:ascii="Amiri" w:hAnsi="Amiri"/>
          <w:b/>
          <w:sz w:val="24"/>
          <w:szCs w:val="24"/>
        </w:rPr>
        <w:t>1-2024</w:t>
      </w:r>
      <w:r>
        <w:rPr>
          <w:rFonts w:ascii="Amiri" w:hAnsi="Amiri"/>
          <w:b/>
          <w:sz w:val="24"/>
          <w:szCs w:val="24"/>
        </w:rPr>
        <w:t>.</w:t>
      </w:r>
      <w:r>
        <w:rPr>
          <w:rStyle w:val="Ninguno"/>
          <w:rFonts w:eastAsia="Times New Roman" w:cs="Times New Roman" w:ascii="Amiri" w:hAnsi="Amiri"/>
          <w:b/>
          <w:bCs/>
          <w:i/>
          <w:iCs/>
          <w:caps w:val="false"/>
          <w:smallCaps w:val="false"/>
          <w:color w:val="000000"/>
          <w:spacing w:val="-3"/>
          <w:kern w:val="2"/>
          <w:sz w:val="24"/>
          <w:szCs w:val="24"/>
          <w:u w:val="none"/>
          <w:shd w:fill="auto" w:val="clear"/>
          <w:lang w:val="es-ES_tradnl" w:eastAsia="zh-CN" w:bidi="ar-SA"/>
        </w:rPr>
        <w:t xml:space="preserve">SUMINISTRO DE </w:t>
      </w:r>
      <w:r>
        <w:rPr>
          <w:rStyle w:val="Ninguno"/>
          <w:rFonts w:eastAsia="Times New Roman" w:cs="Times New Roman" w:ascii="Amiri" w:hAnsi="Amiri"/>
          <w:b/>
          <w:bCs/>
          <w:i/>
          <w:iCs/>
          <w:caps w:val="false"/>
          <w:smallCaps w:val="false"/>
          <w:color w:val="000000"/>
          <w:spacing w:val="-3"/>
          <w:kern w:val="2"/>
          <w:sz w:val="24"/>
          <w:szCs w:val="24"/>
          <w:u w:val="none"/>
          <w:shd w:fill="auto" w:val="clear"/>
          <w:lang w:val="es-ES_tradnl" w:eastAsia="zh-CN" w:bidi="ar-SA"/>
        </w:rPr>
        <w:t>MATERIAL DE FERRETEERÍA PARA</w:t>
      </w:r>
      <w:r>
        <w:rPr>
          <w:rStyle w:val="Ninguno"/>
          <w:rFonts w:eastAsia="Times New Roman" w:cs="Times New Roman" w:ascii="Amiri" w:hAnsi="Amiri"/>
          <w:b/>
          <w:bCs/>
          <w:i/>
          <w:iCs/>
          <w:caps w:val="false"/>
          <w:smallCaps w:val="false"/>
          <w:color w:val="000000"/>
          <w:spacing w:val="-3"/>
          <w:kern w:val="2"/>
          <w:sz w:val="24"/>
          <w:szCs w:val="24"/>
          <w:u w:val="none"/>
          <w:shd w:fill="auto" w:val="clear"/>
          <w:lang w:val="es-ES_tradnl" w:eastAsia="zh-CN" w:bidi="ar-SA"/>
        </w:rPr>
        <w:t xml:space="preserve"> SERVICIOS DE MANTENIMIENTO DE SERVICIOS MUNICIPALES DE GRANADILLA DE ABONA</w:t>
      </w:r>
      <w:r>
        <w:rPr>
          <w:rFonts w:ascii="Amiri" w:hAnsi="Amiri"/>
          <w:b/>
          <w:color w:val="000000"/>
          <w:sz w:val="24"/>
          <w:szCs w:val="24"/>
        </w:rPr>
        <w:t>.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  <w:t>Fecha y hora de celebración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26 de marzo de 2024 a las 10:25:00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  <w:t>Lugar de celebración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Sala de comisiones del Ayuntamiento de Granadilla de Abona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  <w:t>Asistentes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D. Marco </w:t>
      </w:r>
      <w:r>
        <w:rPr>
          <w:rFonts w:ascii="Amiri" w:hAnsi="Amiri"/>
          <w:sz w:val="24"/>
          <w:szCs w:val="24"/>
        </w:rPr>
        <w:t>Antonio Rodríguez Santana</w:t>
      </w:r>
      <w:r>
        <w:rPr>
          <w:rFonts w:ascii="Amiri" w:hAnsi="Amiri"/>
          <w:sz w:val="24"/>
          <w:szCs w:val="24"/>
        </w:rPr>
        <w:t>, PRESIDENTE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D. Carlos Díaz Hernández, como VOCAL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D. </w:t>
      </w:r>
      <w:r>
        <w:rPr>
          <w:rFonts w:ascii="Amiri" w:hAnsi="Amiri"/>
          <w:sz w:val="24"/>
          <w:szCs w:val="24"/>
        </w:rPr>
        <w:t>Jose Manuel Luis Pérez</w:t>
      </w:r>
      <w:r>
        <w:rPr>
          <w:rFonts w:ascii="Amiri" w:hAnsi="Amiri"/>
          <w:sz w:val="24"/>
          <w:szCs w:val="24"/>
        </w:rPr>
        <w:t>, INTERVENTOR AYUNTAMIENTO DE GRANADILLA DE ABONA, como VOCAL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D. Manuel Ortiz Correa,SECRETARIO AYUNTAMIENTO DE GRANADILLA DE ABONA  como </w:t>
      </w:r>
      <w:r>
        <w:rPr>
          <w:rFonts w:ascii="Amiri" w:hAnsi="Amiri"/>
          <w:sz w:val="24"/>
          <w:szCs w:val="24"/>
        </w:rPr>
        <w:t xml:space="preserve">VOCAL Y  </w:t>
      </w:r>
      <w:r>
        <w:rPr>
          <w:rFonts w:ascii="Amiri" w:hAnsi="Amiri"/>
          <w:sz w:val="24"/>
          <w:szCs w:val="24"/>
        </w:rPr>
        <w:t xml:space="preserve">SECRETARIO </w:t>
      </w:r>
      <w:r>
        <w:rPr>
          <w:rFonts w:ascii="Amiri" w:hAnsi="Amiri"/>
          <w:sz w:val="24"/>
          <w:szCs w:val="24"/>
        </w:rPr>
        <w:t>DE LA MESA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jc w:val="center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  <w:t>Orden del día: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 xml:space="preserve">1.- Apertura y calificación administrativa </w:t>
      </w:r>
      <w:r>
        <w:rPr>
          <w:rFonts w:ascii="Amiri" w:hAnsi="Amiri"/>
          <w:color w:val="000000"/>
          <w:sz w:val="24"/>
          <w:szCs w:val="24"/>
        </w:rPr>
        <w:t>y v</w:t>
      </w:r>
      <w:r>
        <w:rPr>
          <w:rFonts w:ascii="Amiri" w:hAnsi="Amiri"/>
          <w:color w:val="000000"/>
          <w:sz w:val="24"/>
          <w:szCs w:val="24"/>
        </w:rPr>
        <w:t xml:space="preserve">aloración criterios </w:t>
      </w:r>
      <w:r>
        <w:rPr>
          <w:rFonts w:ascii="Amiri" w:hAnsi="Amiri"/>
          <w:color w:val="000000"/>
          <w:sz w:val="24"/>
          <w:szCs w:val="24"/>
        </w:rPr>
        <w:t>evaluables automáticamente.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2</w:t>
      </w:r>
      <w:r>
        <w:rPr>
          <w:rFonts w:ascii="Amiri" w:hAnsi="Amiri"/>
          <w:color w:val="000000"/>
          <w:sz w:val="24"/>
          <w:szCs w:val="24"/>
        </w:rPr>
        <w:t>.- Valoración criterios evaluables automáticamente.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3</w:t>
      </w:r>
      <w:r>
        <w:rPr>
          <w:rFonts w:ascii="Amiri" w:hAnsi="Amiri"/>
          <w:color w:val="000000"/>
          <w:sz w:val="24"/>
          <w:szCs w:val="24"/>
        </w:rPr>
        <w:t>.- Propuesta adjudicación.</w:t>
      </w:r>
    </w:p>
    <w:p>
      <w:pPr>
        <w:pStyle w:val="Normal"/>
        <w:ind w:hanging="0" w:left="0" w:right="0"/>
        <w:jc w:val="both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jc w:val="both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jc w:val="center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  <w:t>Se Expone:</w:t>
      </w:r>
    </w:p>
    <w:p>
      <w:pPr>
        <w:pStyle w:val="Normal"/>
        <w:ind w:hanging="0" w:left="0" w:right="0"/>
        <w:jc w:val="both"/>
        <w:rPr>
          <w:rFonts w:ascii="Amiri" w:hAnsi="Amiri"/>
          <w:b/>
          <w:sz w:val="24"/>
          <w:szCs w:val="24"/>
          <w:u w:val="single"/>
        </w:rPr>
      </w:pPr>
      <w:r>
        <w:rPr>
          <w:rFonts w:ascii="Amiri" w:hAnsi="Amiri"/>
          <w:b/>
          <w:sz w:val="24"/>
          <w:szCs w:val="24"/>
          <w:u w:val="single"/>
        </w:rPr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1.-</w:t>
      </w:r>
      <w:r>
        <w:rPr>
          <w:rFonts w:ascii="Amiri" w:hAnsi="Amiri"/>
          <w:color w:val="000000"/>
          <w:sz w:val="24"/>
          <w:szCs w:val="24"/>
        </w:rPr>
        <w:t xml:space="preserve">Apertura y calificación administrativa </w:t>
      </w:r>
      <w:r>
        <w:rPr>
          <w:rFonts w:ascii="Amiri" w:hAnsi="Amiri"/>
          <w:color w:val="000000"/>
          <w:sz w:val="24"/>
          <w:szCs w:val="24"/>
        </w:rPr>
        <w:t>y apertura oferta criterios cuantificables automáticamente</w:t>
      </w:r>
      <w:r>
        <w:rPr>
          <w:rFonts w:ascii="Amiri" w:hAnsi="Amiri"/>
          <w:color w:val="000000"/>
          <w:sz w:val="24"/>
          <w:szCs w:val="24"/>
        </w:rPr>
        <w:t xml:space="preserve">: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Han concurrido las siguientes empresas: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B38892956 LUIS FARIÑA SLU Fecha de presentación: 21 de marzo de 2024 a las 11:48:47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B76515832 SUMINISTROS SOBRADILLO,S.L. Fecha de presentación: 22 de marzo de 2024 a las 18:01:07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Admitir a los siguientes licitadores: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B38892956 LUIS FARIÑA SLU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B76515832 SUMINISTROS SOBRADILLO,S.L.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2.- Acto de valoración oferta criterios cuantificables automáticamente (art. 159): 1-2024 Ferreteria - Material de ferretería</w:t>
      </w:r>
    </w:p>
    <w:p>
      <w:pPr>
        <w:pStyle w:val="Normal"/>
        <w:ind w:hanging="0" w:left="0" w:right="0"/>
        <w:rPr/>
      </w:pPr>
      <w:r>
        <w:rPr>
          <w:rFonts w:ascii="Amiri" w:hAnsi="Amiri"/>
          <w:sz w:val="24"/>
          <w:szCs w:val="24"/>
        </w:rPr>
        <w:t xml:space="preserve"> </w:t>
      </w:r>
      <w:r>
        <w:rPr>
          <w:rFonts w:ascii="Amiri" w:hAnsi="Amiri"/>
          <w:color w:val="000000"/>
          <w:sz w:val="24"/>
          <w:szCs w:val="24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S</w:t>
      </w:r>
      <w:r>
        <w:rPr>
          <w:rFonts w:ascii="Amiri" w:hAnsi="Amiri"/>
          <w:color w:val="000000"/>
          <w:sz w:val="24"/>
          <w:szCs w:val="24"/>
        </w:rPr>
        <w:t>e aporta informe de la Gerencia donde expresa lo siguiente:</w:t>
      </w:r>
    </w:p>
    <w:p>
      <w:pPr>
        <w:pStyle w:val="Normal"/>
        <w:spacing w:lineRule="atLeast" w:line="636" w:before="3" w:after="0"/>
        <w:jc w:val="center"/>
        <w:rPr>
          <w:rFonts w:ascii="Amiri" w:hAnsi="Amiri"/>
          <w:b/>
          <w:bCs/>
          <w:color w:val="000000"/>
          <w:spacing w:val="-3"/>
          <w:sz w:val="24"/>
          <w:szCs w:val="24"/>
          <w:lang w:val="es-ES"/>
        </w:rPr>
      </w:pPr>
      <w:r>
        <w:rPr>
          <w:rFonts w:ascii="Amiri" w:hAnsi="Amiri"/>
          <w:b/>
          <w:bCs/>
          <w:color w:val="000000"/>
          <w:spacing w:val="-3"/>
          <w:sz w:val="24"/>
          <w:szCs w:val="24"/>
          <w:lang w:val="es-E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spacing w:lineRule="atLeast" w:line="314" w:before="8" w:after="0"/>
        <w:ind w:hanging="0" w:left="360" w:right="0"/>
        <w:rPr>
          <w:rFonts w:ascii="Amiri" w:hAnsi="Amiri" w:cs="Verdana"/>
          <w:b w:val="false"/>
          <w:bCs w:val="false"/>
          <w:i/>
          <w:i/>
          <w:iCs/>
          <w:color w:val="000000"/>
          <w:spacing w:val="5"/>
          <w:sz w:val="24"/>
          <w:szCs w:val="24"/>
          <w:lang w:val="es-ES"/>
        </w:rPr>
      </w:pPr>
      <w:r>
        <w:rPr>
          <w:rFonts w:cs="Verdana" w:ascii="Amiri" w:hAnsi="Amiri"/>
          <w:b w:val="false"/>
          <w:bCs w:val="false"/>
          <w:i/>
          <w:iCs/>
          <w:color w:val="000000"/>
          <w:spacing w:val="5"/>
          <w:sz w:val="24"/>
          <w:szCs w:val="24"/>
          <w:lang w:val="es-ES"/>
        </w:rPr>
        <w:t>Cláusulas de valoración.</w:t>
      </w:r>
    </w:p>
    <w:p>
      <w:pPr>
        <w:pStyle w:val="Normal"/>
        <w:tabs>
          <w:tab w:val="clear" w:pos="709"/>
          <w:tab w:val="left" w:pos="360" w:leader="none"/>
          <w:tab w:val="left" w:pos="720" w:leader="none"/>
        </w:tabs>
        <w:spacing w:lineRule="atLeast" w:line="314" w:before="8" w:after="0"/>
        <w:ind w:hanging="0" w:left="360" w:right="0"/>
        <w:rPr>
          <w:rFonts w:ascii="Amiri" w:hAnsi="Amiri" w:cs="Verdana"/>
          <w:b w:val="false"/>
          <w:bCs w:val="false"/>
          <w:i/>
          <w:i/>
          <w:iCs/>
          <w:color w:val="000000"/>
          <w:spacing w:val="5"/>
          <w:sz w:val="24"/>
          <w:szCs w:val="24"/>
          <w:lang w:val="es-ES"/>
        </w:rPr>
      </w:pPr>
      <w:r>
        <w:rPr>
          <w:rFonts w:cs="Verdana" w:ascii="Amiri" w:hAnsi="Amiri"/>
          <w:b w:val="false"/>
          <w:bCs w:val="false"/>
          <w:i/>
          <w:iCs/>
          <w:color w:val="000000"/>
          <w:spacing w:val="5"/>
          <w:sz w:val="24"/>
          <w:szCs w:val="24"/>
          <w:lang w:val="es-ES"/>
        </w:rPr>
      </w:r>
    </w:p>
    <w:p>
      <w:pPr>
        <w:pStyle w:val="Normal"/>
        <w:spacing w:lineRule="auto" w:line="240"/>
        <w:jc w:val="both"/>
        <w:rPr>
          <w:rFonts w:ascii="Amiri" w:hAnsi="Amiri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Criterios de adjudicación </w:t>
      </w:r>
      <w:r>
        <w:rPr>
          <w:rFonts w:cs="Verdana" w:ascii="Amiri" w:hAnsi="Amiri"/>
          <w:b/>
          <w:i/>
          <w:iCs/>
          <w:sz w:val="24"/>
          <w:szCs w:val="24"/>
          <w:shd w:fill="auto" w:val="clear"/>
        </w:rPr>
        <w:t xml:space="preserve">cuantitativos </w:t>
      </w:r>
      <w:r>
        <w:rPr>
          <w:rFonts w:cs="Verdana" w:ascii="Amiri" w:hAnsi="Amiri"/>
          <w:b/>
          <w:i/>
          <w:iCs/>
          <w:sz w:val="24"/>
          <w:szCs w:val="24"/>
          <w:shd w:fill="auto" w:val="clear"/>
        </w:rPr>
        <w:t>100 puntos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>: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</w:r>
    </w:p>
    <w:tbl>
      <w:tblPr>
        <w:tblW w:w="6510" w:type="dxa"/>
        <w:jc w:val="left"/>
        <w:tblInd w:w="1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8"/>
        <w:gridCol w:w="1802"/>
      </w:tblGrid>
      <w:tr>
        <w:trPr/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720" w:leader="none"/>
              </w:tabs>
              <w:spacing w:lineRule="auto" w:line="240"/>
              <w:jc w:val="both"/>
              <w:rPr>
                <w:rFonts w:ascii="Amiri" w:hAnsi="Amiri" w:cs="Arial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Arial" w:ascii="Amiri" w:hAnsi="Amiri"/>
                <w:i/>
                <w:iCs/>
                <w:sz w:val="24"/>
                <w:szCs w:val="24"/>
                <w:shd w:fill="auto" w:val="clear"/>
              </w:rPr>
              <w:t>CRITERIOS DE ADJUDICACIÓN EVALUABLES</w:t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spacing w:lineRule="auto" w:line="240"/>
              <w:jc w:val="both"/>
              <w:rPr>
                <w:rFonts w:ascii="Amiri" w:hAnsi="Amiri" w:cs="Arial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Arial" w:ascii="Amiri" w:hAnsi="Amiri"/>
                <w:i/>
                <w:iCs/>
                <w:sz w:val="24"/>
                <w:szCs w:val="24"/>
                <w:shd w:fill="auto" w:val="clear"/>
              </w:rPr>
              <w:t>MEDIANTE FÓRMULAS O PARÁMETROS OBJETIVOS:</w:t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spacing w:lineRule="auto" w:line="240"/>
              <w:jc w:val="both"/>
              <w:rPr>
                <w:rFonts w:ascii="Amiri" w:hAnsi="Amiri" w:cs="Arial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Arial" w:ascii="Amiri" w:hAnsi="Amiri"/>
                <w:i/>
                <w:iCs/>
                <w:sz w:val="24"/>
                <w:szCs w:val="24"/>
                <w:shd w:fill="auto" w:val="clear"/>
              </w:rPr>
              <w:t>hasta un máximo de 100 puntos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720" w:leader="none"/>
              </w:tabs>
              <w:snapToGrid w:val="false"/>
              <w:spacing w:lineRule="auto" w:line="240"/>
              <w:jc w:val="both"/>
              <w:rPr>
                <w:rFonts w:ascii="Amiri" w:hAnsi="Amiri" w:cs="Arial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Arial" w:ascii="Amiri" w:hAnsi="Amiri"/>
                <w:i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spacing w:lineRule="auto" w:line="240"/>
              <w:jc w:val="both"/>
              <w:rPr>
                <w:rFonts w:ascii="Amiri" w:hAnsi="Amiri" w:cs="Arial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Arial" w:ascii="Amiri" w:hAnsi="Amiri"/>
                <w:i/>
                <w:iCs/>
                <w:sz w:val="24"/>
                <w:szCs w:val="24"/>
                <w:shd w:fill="auto" w:val="clear"/>
              </w:rPr>
              <w:t>VALORACIÓN en puntos</w:t>
            </w:r>
          </w:p>
        </w:tc>
      </w:tr>
    </w:tbl>
    <w:p>
      <w:pPr>
        <w:pStyle w:val="Normal"/>
        <w:tabs>
          <w:tab w:val="clear" w:pos="709"/>
          <w:tab w:val="left" w:pos="-720" w:leader="none"/>
        </w:tabs>
        <w:spacing w:lineRule="auto" w:line="240"/>
        <w:jc w:val="both"/>
        <w:rPr>
          <w:rFonts w:ascii="Amiri" w:hAnsi="Amiri" w:cs="Arial"/>
          <w:b/>
          <w:bCs/>
          <w:i/>
          <w:i/>
          <w:iCs/>
          <w:sz w:val="24"/>
          <w:szCs w:val="24"/>
          <w:shd w:fill="auto" w:val="clear"/>
        </w:rPr>
      </w:pPr>
      <w:r>
        <w:rPr>
          <w:rFonts w:cs="Arial" w:ascii="Amiri" w:hAnsi="Amiri"/>
          <w:b/>
          <w:bCs/>
          <w:i/>
          <w:iCs/>
          <w:sz w:val="24"/>
          <w:szCs w:val="24"/>
          <w:shd w:fill="auto" w:val="clear"/>
        </w:rPr>
      </w:r>
    </w:p>
    <w:p>
      <w:pPr>
        <w:pStyle w:val="Normal"/>
        <w:spacing w:lineRule="auto" w:line="240"/>
        <w:jc w:val="both"/>
        <w:rPr>
          <w:rFonts w:ascii="Amiri" w:hAnsi="Amiri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ab/>
        <w:t xml:space="preserve">*En cuanto al criterio económico (hasta 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>100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 puntos):</w:t>
      </w:r>
    </w:p>
    <w:p>
      <w:pPr>
        <w:pStyle w:val="Normal"/>
        <w:spacing w:lineRule="auto" w:line="240"/>
        <w:jc w:val="both"/>
        <w:rPr>
          <w:rFonts w:ascii="Amiri" w:hAnsi="Amiri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Los licitadores han de ofertar un listado de precios unitarios, 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>sin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 IGIC, para cada una de las </w:t>
      </w:r>
      <w:r>
        <w:rPr>
          <w:rFonts w:eastAsia="SimSun;宋体" w:cs="Verdana" w:ascii="Amiri" w:hAnsi="Amiri"/>
          <w:i/>
          <w:iCs/>
          <w:color w:val="000000"/>
          <w:kern w:val="2"/>
          <w:sz w:val="24"/>
          <w:szCs w:val="24"/>
          <w:shd w:fill="auto" w:val="clear"/>
          <w:lang w:val="es-ES" w:eastAsia="zh-CN" w:bidi="hi-IN"/>
        </w:rPr>
        <w:t>elementos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 a suministrar detalladas, sin que superen los precios máximos por unidad establecidos en la cláusula 2 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>(Anexo I)</w:t>
      </w:r>
      <w:r>
        <w:rPr>
          <w:rFonts w:cs="Verdana" w:ascii="Amiri" w:hAnsi="Amiri"/>
          <w:i/>
          <w:iCs/>
          <w:sz w:val="24"/>
          <w:szCs w:val="24"/>
          <w:shd w:fill="auto" w:val="clear"/>
        </w:rPr>
        <w:t xml:space="preserve"> del presente Pliego.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>La valoración de este criterio se hará aplicando la siguiente fórmula: P=(pm x mo)/O; siendo: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>P= puntuación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>pm= puntuación máxima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>mo = mejor oferta</w:t>
      </w:r>
    </w:p>
    <w:p>
      <w:pPr>
        <w:pStyle w:val="Normal"/>
        <w:spacing w:lineRule="auto" w:line="240"/>
        <w:jc w:val="both"/>
        <w:rPr>
          <w:rFonts w:ascii="Amiri" w:hAnsi="Amiri" w:cs="Verdana"/>
          <w:i/>
          <w:i/>
          <w:iCs/>
          <w:sz w:val="24"/>
          <w:szCs w:val="24"/>
          <w:shd w:fill="auto" w:val="clear"/>
        </w:rPr>
      </w:pPr>
      <w:r>
        <w:rPr>
          <w:rFonts w:cs="Verdana" w:ascii="Amiri" w:hAnsi="Amiri"/>
          <w:i/>
          <w:iCs/>
          <w:sz w:val="24"/>
          <w:szCs w:val="24"/>
          <w:shd w:fill="auto" w:val="clear"/>
        </w:rPr>
        <w:t>O = valor cuantitativo de la oferta que se valora</w:t>
      </w:r>
    </w:p>
    <w:p>
      <w:pPr>
        <w:pStyle w:val="Normal"/>
        <w:spacing w:lineRule="auto" w:line="240"/>
        <w:jc w:val="both"/>
        <w:rPr>
          <w:rFonts w:ascii="Arial" w:hAnsi="Arial" w:cs="Verdana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Style w:val="Fuentedeprrafopredeter"/>
          <w:rFonts w:cs="Verdana" w:ascii="Amiri" w:hAnsi="Amiri"/>
          <w:i/>
          <w:iCs/>
          <w:color w:val="000000"/>
          <w:sz w:val="24"/>
          <w:szCs w:val="24"/>
          <w:shd w:fill="auto" w:val="clear"/>
        </w:rPr>
        <w:tab/>
        <w:t xml:space="preserve">Se darán puntos por cada material ponderándolo individualmente como se indica </w:t>
      </w:r>
      <w:r>
        <w:rPr>
          <w:rStyle w:val="Fuentedeprrafopredeter"/>
          <w:rFonts w:cs="Verdana" w:ascii="Amiri" w:hAnsi="Amiri"/>
          <w:i/>
          <w:iCs/>
          <w:color w:val="000000"/>
          <w:sz w:val="24"/>
          <w:szCs w:val="24"/>
          <w:shd w:fill="auto" w:val="clear"/>
        </w:rPr>
        <w:t>en el Anexo I</w:t>
      </w:r>
      <w:r>
        <w:rPr>
          <w:rStyle w:val="Fuentedeprrafopredeter"/>
          <w:rFonts w:cs="Verdana" w:ascii="Amiri" w:hAnsi="Amiri"/>
          <w:i/>
          <w:iCs/>
          <w:color w:val="000000"/>
          <w:sz w:val="24"/>
          <w:szCs w:val="24"/>
          <w:shd w:fill="auto" w:val="clear"/>
        </w:rPr>
        <w:t>, del sumatorio de puntos individuales se obtendrá la puntuación final de cada licitador</w:t>
      </w:r>
    </w:p>
    <w:p>
      <w:pPr>
        <w:pStyle w:val="Normal"/>
        <w:spacing w:lineRule="auto" w:line="240"/>
        <w:jc w:val="both"/>
        <w:rPr/>
      </w:pPr>
      <w:r>
        <w:rPr>
          <w:rStyle w:val="Fuentedeprrafopredeter"/>
          <w:rFonts w:ascii="Amiri" w:hAnsi="Amiri"/>
          <w:i/>
          <w:iCs/>
          <w:sz w:val="24"/>
          <w:szCs w:val="24"/>
        </w:rPr>
        <w:t xml:space="preserve">Analizado los 312 artículos mediante la formula anterior y su ponderación, la puntuación obtenida </w:t>
      </w:r>
    </w:p>
    <w:p>
      <w:pPr>
        <w:pStyle w:val="Normal"/>
        <w:spacing w:lineRule="auto" w:line="240"/>
        <w:jc w:val="both"/>
        <w:rPr/>
      </w:pPr>
      <w:r>
        <w:rPr>
          <w:rStyle w:val="Fuentedeprrafopredeter"/>
          <w:rFonts w:ascii="Amiri" w:hAnsi="Amiri"/>
          <w:i/>
          <w:iCs/>
          <w:sz w:val="24"/>
          <w:szCs w:val="24"/>
        </w:rPr>
        <w:t>es la siguiente:</w:t>
      </w:r>
    </w:p>
    <w:p>
      <w:pPr>
        <w:pStyle w:val="Normal"/>
        <w:bidi w:val="0"/>
        <w:spacing w:lineRule="auto" w:line="240"/>
        <w:jc w:val="center"/>
        <w:rPr>
          <w:rFonts w:ascii="Amiri" w:hAnsi="Amiri"/>
          <w:i/>
          <w:i/>
          <w:iCs/>
          <w:sz w:val="24"/>
          <w:szCs w:val="24"/>
        </w:rPr>
      </w:pPr>
      <w:r>
        <w:rPr>
          <w:rFonts w:ascii="Amiri" w:hAnsi="Amiri"/>
          <w:i/>
          <w:i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Style w:val="Fuentedeprrafopredeter"/>
          <w:rFonts w:ascii="Amiri" w:hAnsi="Amiri"/>
          <w:i/>
          <w:iCs/>
          <w:sz w:val="24"/>
          <w:szCs w:val="24"/>
        </w:rPr>
        <w:t>Ferretería Luis Fariña 95,89 puntos</w:t>
      </w:r>
    </w:p>
    <w:p>
      <w:pPr>
        <w:pStyle w:val="Normal"/>
        <w:spacing w:lineRule="auto" w:line="240"/>
        <w:jc w:val="both"/>
        <w:rPr/>
      </w:pPr>
      <w:r>
        <w:rPr>
          <w:rStyle w:val="Fuentedeprrafopredeter"/>
          <w:rFonts w:ascii="Amiri" w:hAnsi="Amiri"/>
          <w:i/>
          <w:iCs/>
          <w:sz w:val="24"/>
          <w:szCs w:val="24"/>
        </w:rPr>
        <w:t>Ferretería Suministros Sobradillo 92,17 puntos</w:t>
      </w:r>
    </w:p>
    <w:p>
      <w:pPr>
        <w:pStyle w:val="Normal"/>
        <w:spacing w:lineRule="auto" w:line="240"/>
        <w:jc w:val="both"/>
        <w:rPr/>
      </w:pPr>
      <w:r>
        <w:rPr>
          <w:rStyle w:val="Fuentedeprrafopredeter"/>
          <w:rFonts w:ascii="Amiri" w:hAnsi="Amiri"/>
          <w:i/>
          <w:iCs/>
          <w:sz w:val="24"/>
          <w:szCs w:val="24"/>
        </w:rPr>
        <w:t xml:space="preserve"> </w:t>
      </w:r>
      <w:r>
        <w:rPr>
          <w:rStyle w:val="Fuentedeprrafopredeter"/>
          <w:rFonts w:ascii="Amiri" w:hAnsi="Amiri"/>
          <w:i/>
          <w:iCs/>
          <w:sz w:val="24"/>
          <w:szCs w:val="24"/>
        </w:rPr>
        <w:t xml:space="preserve">Obtiene la mejor puntuación  </w:t>
      </w:r>
      <w:r>
        <w:rPr>
          <w:rStyle w:val="Fuentedeprrafopredeter"/>
          <w:rFonts w:ascii="Amiri" w:hAnsi="Amiri"/>
          <w:i/>
          <w:iCs/>
          <w:sz w:val="24"/>
          <w:szCs w:val="24"/>
        </w:rPr>
        <w:t>FERRETERÍA LUIS FARIÑA</w:t>
      </w:r>
      <w:r>
        <w:rPr>
          <w:rStyle w:val="Fuentedeprrafopredeter"/>
          <w:rFonts w:ascii="Amiri" w:hAnsi="Amiri"/>
          <w:i/>
          <w:iCs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Style w:val="Fuentedeprrafopredeter"/>
          <w:rFonts w:ascii="Amiri" w:hAnsi="Ami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Style w:val="Fuentedeprrafopredeter"/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B38892956 LUIS FARIÑA SLU: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- CRITERIOS ECONÓMICOS     Puntuación: 95.89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NIF: B76515832 SUMINISTROS SOBRADILLO,S.L.:</w:t>
      </w:r>
    </w:p>
    <w:p>
      <w:pPr>
        <w:pStyle w:val="Normal"/>
        <w:ind w:hanging="0" w:left="0" w:right="0"/>
        <w:rPr/>
      </w:pPr>
      <w:r>
        <w:rPr>
          <w:rStyle w:val="Fuentedeprrafopredeter"/>
          <w:rFonts w:cs="Verdana" w:ascii="Amiri" w:hAnsi="Amiri"/>
          <w:color w:val="000000"/>
          <w:spacing w:val="5"/>
          <w:sz w:val="24"/>
          <w:szCs w:val="24"/>
          <w:lang w:val="es-ES"/>
        </w:rPr>
        <w:t>- CRITERIOS ECONÓMICOS    Puntuación: 92.17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3</w:t>
      </w:r>
      <w:r>
        <w:rPr>
          <w:rFonts w:ascii="Amiri" w:hAnsi="Amiri"/>
          <w:color w:val="000000"/>
          <w:sz w:val="24"/>
          <w:szCs w:val="24"/>
        </w:rPr>
        <w:t>.- Propuesta adjudicación: 1-2024 Ferretería - Material de ferretería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  <w:t>De acuerdo a la evaluación de las propuestas aportadas por los licitadores, la mesa concluye la siguiente lista ordenada de manera decreciente de puntuación de acuerdo a las puntuaciones obtenidas por los licitadores</w:t>
      </w:r>
    </w:p>
    <w:p>
      <w:pPr>
        <w:pStyle w:val="Normal"/>
        <w:ind w:hanging="0" w:left="0" w:right="0"/>
        <w:rPr>
          <w:rFonts w:ascii="Amiri" w:hAnsi="Amiri"/>
          <w:color w:val="000000"/>
          <w:sz w:val="24"/>
          <w:szCs w:val="24"/>
        </w:rPr>
      </w:pPr>
      <w:r>
        <w:rPr>
          <w:rFonts w:ascii="Amiri" w:hAnsi="Amiri"/>
          <w:color w:val="000000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Orden: 1 NIF: B38892956 LUIS FARIÑA SLU Propuesto para la adjudicación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Total puntuación: 95.89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Orden: 2 NIF: B76515832 SUMINISTROS SOBRADILLO,S.L.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Total puntuación: 92.17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Visto las puntuaciones obtenidas, se propone al Órgano de Contratación a  </w:t>
      </w:r>
      <w:r>
        <w:rPr>
          <w:rFonts w:ascii="Amiri" w:hAnsi="Amiri"/>
          <w:sz w:val="24"/>
          <w:szCs w:val="24"/>
        </w:rPr>
        <w:t xml:space="preserve">Luis Fariña </w:t>
      </w:r>
      <w:r>
        <w:rPr>
          <w:rFonts w:ascii="Amiri" w:hAnsi="Amiri"/>
          <w:color w:val="000000"/>
          <w:sz w:val="24"/>
          <w:szCs w:val="24"/>
        </w:rPr>
        <w:t>SLU</w:t>
      </w:r>
      <w:r>
        <w:rPr>
          <w:rFonts w:ascii="Amiri" w:hAnsi="Amiri"/>
          <w:sz w:val="24"/>
          <w:szCs w:val="24"/>
        </w:rPr>
        <w:t xml:space="preserve"> como adjudicador.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Yo, como Secretario, certifico con el visto bueno del Presidente: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  <w:r>
        <w:rPr>
          <w:rFonts w:ascii="Amiri" w:hAnsi="Amiri"/>
          <w:sz w:val="24"/>
          <w:szCs w:val="24"/>
        </w:rPr>
        <w:t>Manuel Ortiz Correa</w:t>
        <w:tab/>
        <w:tab/>
        <w:tab/>
        <w:tab/>
        <w:tab/>
        <w:tab/>
      </w:r>
      <w:r>
        <w:rPr>
          <w:rFonts w:ascii="Amiri" w:hAnsi="Amiri"/>
          <w:sz w:val="24"/>
          <w:szCs w:val="24"/>
        </w:rPr>
        <w:t>Marcos Antonio Rodríguez Santana</w:t>
      </w:r>
      <w:r>
        <w:rPr>
          <w:rFonts w:ascii="Amiri" w:hAnsi="Amiri"/>
          <w:sz w:val="24"/>
          <w:szCs w:val="24"/>
        </w:rPr>
        <w:t>.</w:t>
        <w:tab/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>SECRETARIO</w:t>
        <w:tab/>
      </w:r>
      <w:r>
        <w:rPr>
          <w:rFonts w:ascii="Amiri" w:hAnsi="Amiri"/>
          <w:sz w:val="24"/>
          <w:szCs w:val="24"/>
        </w:rPr>
        <w:t>Y VOCAL</w:t>
      </w:r>
      <w:r>
        <w:rPr>
          <w:rFonts w:ascii="Amiri" w:hAnsi="Amiri"/>
          <w:sz w:val="24"/>
          <w:szCs w:val="24"/>
        </w:rPr>
        <w:tab/>
        <w:tab/>
        <w:tab/>
        <w:tab/>
        <w:tab/>
        <w:t>PRESIDENTE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 </w:t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</w:r>
    </w:p>
    <w:p>
      <w:pPr>
        <w:pStyle w:val="Normal"/>
        <w:ind w:hanging="0" w:left="0" w:right="0"/>
        <w:rPr>
          <w:rFonts w:ascii="Amiri" w:hAnsi="Amiri"/>
          <w:sz w:val="24"/>
          <w:szCs w:val="24"/>
        </w:rPr>
      </w:pPr>
      <w:r>
        <w:rPr>
          <w:rFonts w:ascii="Amiri" w:hAnsi="Amiri"/>
          <w:sz w:val="24"/>
          <w:szCs w:val="24"/>
        </w:rPr>
        <w:t xml:space="preserve">D. </w:t>
      </w:r>
      <w:r>
        <w:rPr>
          <w:rFonts w:ascii="Amiri" w:hAnsi="Amiri"/>
          <w:sz w:val="24"/>
          <w:szCs w:val="24"/>
        </w:rPr>
        <w:t>Carlos Díaz Hernández</w:t>
      </w:r>
      <w:r>
        <w:rPr>
          <w:rFonts w:ascii="Amiri" w:hAnsi="Amiri"/>
          <w:sz w:val="24"/>
          <w:szCs w:val="24"/>
        </w:rPr>
        <w:tab/>
        <w:tab/>
        <w:tab/>
        <w:tab/>
        <w:tab/>
        <w:t xml:space="preserve">D. </w:t>
      </w:r>
      <w:r>
        <w:rPr>
          <w:rFonts w:ascii="Amiri" w:hAnsi="Amiri"/>
          <w:sz w:val="24"/>
          <w:szCs w:val="24"/>
        </w:rPr>
        <w:t>Jose Manuel Luis Pérez</w:t>
      </w:r>
      <w:r>
        <w:rPr>
          <w:rFonts w:ascii="Amiri" w:hAnsi="Amiri"/>
          <w:sz w:val="24"/>
          <w:szCs w:val="24"/>
        </w:rPr>
        <w:tab/>
        <w:tab/>
        <w:t xml:space="preserve">  VOCA</w:t>
      </w:r>
      <w:r>
        <w:rPr>
          <w:rFonts w:ascii="Amiri" w:hAnsi="Amiri"/>
          <w:sz w:val="24"/>
          <w:szCs w:val="24"/>
        </w:rPr>
        <w:t>L</w:t>
        <w:tab/>
        <w:tab/>
        <w:tab/>
        <w:tab/>
        <w:tab/>
        <w:tab/>
        <w:tab/>
        <w:tab/>
      </w:r>
      <w:r>
        <w:rPr>
          <w:rFonts w:ascii="Amiri" w:hAnsi="Amiri"/>
          <w:sz w:val="24"/>
          <w:szCs w:val="24"/>
        </w:rPr>
        <w:t>VOCAL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969" w:footer="1134" w:bottom="192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auto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enter" w:pos="0" w:leader="none"/>
        <w:tab w:val="right" w:pos="9638" w:leader="none"/>
      </w:tabs>
      <w:jc w:val="both"/>
      <w:rPr>
        <w:sz w:val="16"/>
        <w:szCs w:val="16"/>
        <w:lang w:val="es-ES" w:eastAsia="es-ES"/>
      </w:rPr>
    </w:pP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E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xpediente de contratación 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1-2024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 xml:space="preserve">  </w:t>
    </w:r>
    <w:r>
      <w:rPr>
        <w:rFonts w:eastAsia="NSimSun" w:cs="Arial" w:ascii="Liberation Serif;Times New Roman" w:hAnsi="Liberation Serif;Times New Roman"/>
        <w:i w:val="false"/>
        <w:iCs w:val="false"/>
        <w:color w:val="auto"/>
        <w:kern w:val="2"/>
        <w:sz w:val="16"/>
        <w:szCs w:val="16"/>
        <w:lang w:val="es-ES" w:eastAsia="zh-CN" w:bidi="hi-IN"/>
      </w:rPr>
      <w:t>Ferretería</w:t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  <w:p>
    <w:pPr>
      <w:pStyle w:val="Footer"/>
      <w:rPr>
        <w:sz w:val="14"/>
        <w:szCs w:val="14"/>
        <w:lang w:val="es-ES" w:eastAsia="es-ES"/>
      </w:rPr>
    </w:pPr>
    <w:r>
      <w:rPr>
        <w:sz w:val="14"/>
        <w:szCs w:val="14"/>
        <w:lang w:val="es-ES"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6180455</wp:posOffset>
          </wp:positionH>
          <wp:positionV relativeFrom="paragraph">
            <wp:posOffset>8246745</wp:posOffset>
          </wp:positionV>
          <wp:extent cx="477520" cy="93027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rebuchet MS" w:hAnsi="Trebuchet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Smbolosdenumeracin">
    <w:name w:val="Símbolos de numeración"/>
    <w:qFormat/>
    <w:rPr/>
  </w:style>
  <w:style w:type="character" w:styleId="Fuentedeprrafopredeter">
    <w:name w:val="Fuente de párrafo predeter."/>
    <w:qFormat/>
    <w:rPr/>
  </w:style>
  <w:style w:type="character" w:styleId="Ninguno">
    <w:name w:val="Ninguno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EndnoteText">
    <w:name w:val="end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s-ES" w:eastAsia="zh-CN" w:bidi="ar-SA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282</TotalTime>
  <Application>LibreOffice/25.2.4.3$Windows_x86 LibreOffice_project/33e196637044ead23f5c3226cde09b47731f7e27</Application>
  <AppVersion>15.0000</AppVersion>
  <Pages>4</Pages>
  <Words>565</Words>
  <Characters>3359</Characters>
  <CharactersWithSpaces>3919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2021-03-12T12:53:09Z</dcterms:created>
  <dc:creator/>
  <dc:description/>
  <dc:language>es-ES</dc:language>
  <cp:lastModifiedBy/>
  <cp:lastPrinted>2022-04-19T09:50:56Z</cp:lastPrinted>
  <dcterms:modified xsi:type="dcterms:W3CDTF">2024-04-22T12:43:35Z</dcterms:modified>
  <cp:revision>10</cp:revision>
  <dc:subject/>
  <dc:title/>
</cp:coreProperties>
</file>