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-4169410</wp:posOffset>
                </wp:positionH>
                <wp:positionV relativeFrom="paragraph">
                  <wp:posOffset>3653790</wp:posOffset>
                </wp:positionV>
                <wp:extent cx="7520940" cy="531495"/>
                <wp:effectExtent l="16510" t="1270" r="16510" b="127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15000">
                          <a:off x="0" y="0"/>
                          <a:ext cx="7521120" cy="53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Arial" w:hAnsi="Arial" w:cs="Arial"/>
                                <w:lang w:val="es-ES_tradnl"/>
                              </w:rPr>
                              <w:t>Servicios Municipales de Granadilla de Abona, S.L. B38711248, Lugar Plaza Gonzalez, Mena s/n, 38600, Granadilla de Abona. Tf: 922 758 116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o:allowincell="f" style="position:absolute;margin-left:-328.3pt;margin-top:287.7pt;width:592.15pt;height:41.8pt;mso-wrap-style:square;v-text-anchor:middle;rotation:270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14"/>
                          <w:szCs w:val="14"/>
                          <w:rFonts w:ascii="Arial" w:hAnsi="Arial" w:cs="Arial"/>
                          <w:lang w:val="es-ES_tradnl"/>
                        </w:rPr>
                        <w:t>Servicios Municipales de Granadilla de Abona, S.L. B38711248, Lugar Plaza Gonzalez, Mena s/n, 38600, Granadilla de Abona. Tf: 922 758 116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drawing>
          <wp:anchor behindDoc="0" distT="0" distB="0" distL="114935" distR="114935" simplePos="0" locked="0" layoutInCell="0" allowOverlap="1" relativeHeight="10">
            <wp:simplePos x="0" y="0"/>
            <wp:positionH relativeFrom="column">
              <wp:posOffset>-94615</wp:posOffset>
            </wp:positionH>
            <wp:positionV relativeFrom="paragraph">
              <wp:posOffset>-891540</wp:posOffset>
            </wp:positionV>
            <wp:extent cx="1412875" cy="618490"/>
            <wp:effectExtent l="0" t="0" r="0" b="0"/>
            <wp:wrapSquare wrapText="bothSides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-1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hanging="0" w:left="0" w:right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ACTA DE LA MESA DE CONTRATACIÓN</w:t>
      </w:r>
    </w:p>
    <w:p>
      <w:pPr>
        <w:pStyle w:val="Normal"/>
        <w:ind w:hanging="0" w:left="0" w:right="0"/>
        <w:jc w:val="center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miri" w:hAnsi="Amiri"/>
          <w:b/>
          <w:sz w:val="22"/>
          <w:szCs w:val="22"/>
        </w:rPr>
        <w:t xml:space="preserve">Expediente de contratación: </w:t>
      </w:r>
      <w:r>
        <w:rPr>
          <w:rStyle w:val="Ninguno"/>
          <w:rFonts w:eastAsia="Times New Roman" w:cs="Tahoma" w:ascii="Amiri" w:hAnsi="Amiri"/>
          <w:b/>
          <w:bCs/>
          <w:i w:val="false"/>
          <w:iCs w:val="false"/>
          <w:caps w:val="false"/>
          <w:smallCaps w:val="false"/>
          <w:color w:val="000000"/>
          <w:spacing w:val="-3"/>
          <w:kern w:val="2"/>
          <w:sz w:val="22"/>
          <w:szCs w:val="22"/>
          <w:u w:val="none"/>
          <w:shd w:fill="auto" w:val="clear"/>
          <w:lang w:val="es-ES" w:eastAsia="zh-CN" w:bidi="ar-SA"/>
        </w:rPr>
        <w:t xml:space="preserve">SERVICIO DE PUBLICIDAD Y COMUNICACIÓN DE SERMUGRAN        </w:t>
      </w:r>
      <w:r>
        <w:rPr>
          <w:rFonts w:ascii="Amiri" w:hAnsi="Amiri"/>
          <w:b/>
          <w:sz w:val="22"/>
          <w:szCs w:val="22"/>
        </w:rPr>
        <w:t>2</w:t>
      </w:r>
      <w:r>
        <w:rPr>
          <w:rFonts w:ascii="Amiri" w:hAnsi="Amiri"/>
          <w:b/>
          <w:sz w:val="22"/>
          <w:szCs w:val="22"/>
        </w:rPr>
        <w:t>-2024</w:t>
      </w:r>
      <w:r>
        <w:rPr>
          <w:rFonts w:ascii="Amiri" w:hAnsi="Amiri"/>
          <w:b/>
          <w:sz w:val="22"/>
          <w:szCs w:val="22"/>
        </w:rPr>
        <w:t>. Dar a conocer las actividades, iniciativas públicas y campañas de concienciación que requieren de un tratamiento comunicativo y publicitario adecuado, contenido y contratación de los soportes</w:t>
      </w:r>
      <w:r>
        <w:rPr>
          <w:rFonts w:ascii="Amiri" w:hAnsi="Amiri"/>
          <w:b/>
          <w:color w:val="000000"/>
          <w:sz w:val="22"/>
          <w:szCs w:val="22"/>
        </w:rPr>
        <w:t>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jc w:val="both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  <w:t>Fecha y hora de celebración: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26 de marzo de 2024 a las 10:15:00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  <w:t>Lugar de celebración: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Sala de comisiones del Ayuntamiento de Granadilla de Abona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  <w:t>Asistentes: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D. Marco </w:t>
      </w:r>
      <w:r>
        <w:rPr>
          <w:rFonts w:ascii="Amiri" w:hAnsi="Amiri"/>
          <w:sz w:val="22"/>
          <w:szCs w:val="22"/>
        </w:rPr>
        <w:t>Antonio Rodríguez Santana</w:t>
      </w:r>
      <w:r>
        <w:rPr>
          <w:rFonts w:ascii="Amiri" w:hAnsi="Amiri"/>
          <w:sz w:val="22"/>
          <w:szCs w:val="22"/>
        </w:rPr>
        <w:t>, PRESIDENTE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D. Carlos Díaz Hernández, como VOCAL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D. </w:t>
      </w:r>
      <w:r>
        <w:rPr>
          <w:rFonts w:ascii="Amiri" w:hAnsi="Amiri"/>
          <w:sz w:val="22"/>
          <w:szCs w:val="22"/>
        </w:rPr>
        <w:t>Jose Manuel Luis Pérez</w:t>
      </w:r>
      <w:r>
        <w:rPr>
          <w:rFonts w:ascii="Amiri" w:hAnsi="Amiri"/>
          <w:sz w:val="22"/>
          <w:szCs w:val="22"/>
        </w:rPr>
        <w:t>, INTERVENTOR AYUNTAMIENTO DE GRANADILLA DE ABONA, como VOCAL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D. Manuel Ortiz Correa,SECRETARIO AYUNTAMIENTO DE GRANADILLA DE ABONA  como </w:t>
      </w:r>
      <w:r>
        <w:rPr>
          <w:rFonts w:ascii="Amiri" w:hAnsi="Amiri"/>
          <w:sz w:val="22"/>
          <w:szCs w:val="22"/>
        </w:rPr>
        <w:t xml:space="preserve">VOCAL Y  </w:t>
      </w:r>
      <w:r>
        <w:rPr>
          <w:rFonts w:ascii="Amiri" w:hAnsi="Amiri"/>
          <w:sz w:val="22"/>
          <w:szCs w:val="22"/>
        </w:rPr>
        <w:t xml:space="preserve">SECRETARIO </w:t>
      </w:r>
      <w:r>
        <w:rPr>
          <w:rFonts w:ascii="Amiri" w:hAnsi="Amiri"/>
          <w:sz w:val="22"/>
          <w:szCs w:val="22"/>
        </w:rPr>
        <w:t>DE LA MESA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jc w:val="center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  <w:t>Orden del día: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1.- Apertura y calificación administrativa.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2.- Apertura criterios basados en juicios de valor.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3.- Valoración criterios basados en juicios de valor.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4.- Apertura criterios evaluables automáticamente.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5.- Valoración criterios evaluables automáticamente.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6.- Propuesta adjudicación.</w:t>
      </w:r>
    </w:p>
    <w:p>
      <w:pPr>
        <w:pStyle w:val="Normal"/>
        <w:ind w:hanging="0" w:left="0" w:right="0"/>
        <w:jc w:val="both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jc w:val="both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jc w:val="center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  <w:t>Se Expone: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2"/>
          <w:szCs w:val="22"/>
          <w:u w:val="single"/>
        </w:rPr>
      </w:pPr>
      <w:r>
        <w:rPr>
          <w:rFonts w:ascii="Amiri" w:hAnsi="Amiri"/>
          <w:b/>
          <w:sz w:val="22"/>
          <w:szCs w:val="22"/>
          <w:u w:val="single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1.- Apertura y calificación administrativa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Fonts w:ascii="Amiri" w:hAnsi="Amiri"/>
          <w:sz w:val="22"/>
          <w:szCs w:val="22"/>
        </w:rPr>
        <w:t xml:space="preserve"> </w:t>
      </w:r>
      <w:r>
        <w:rPr>
          <w:rFonts w:ascii="Amiri" w:hAnsi="Amiri"/>
          <w:sz w:val="22"/>
          <w:szCs w:val="22"/>
        </w:rPr>
        <w:t>Han concurrido las siguientes empresas: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NIF: B38745865 ASCOMUNICACION Y PUBLICIDAD,S.L. Fecha de presentación: 21 de marzo de 2024 a las 15:46:04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NIF: B38381968 BC Exclusivas de Publicidad, S.L. Fecha de presentación: 22 de marzo de 2024 a las 15:51:06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NIF: B38964243 Juan Lima Cuello radio FM, S.l. Fecha de presentación: 21 de marzo de 2024 a las 12:10:05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  <w:r>
        <w:rPr>
          <w:rFonts w:ascii="Amiri" w:hAnsi="Amiri"/>
          <w:sz w:val="22"/>
          <w:szCs w:val="22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Admitir a los siguientes licitadores: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NIF: B38745865 AS </w:t>
      </w:r>
      <w:r>
        <w:rPr>
          <w:rFonts w:ascii="Amiri" w:hAnsi="Amiri"/>
          <w:sz w:val="22"/>
          <w:szCs w:val="22"/>
        </w:rPr>
        <w:t>Comunicación y Publicidad</w:t>
      </w:r>
      <w:r>
        <w:rPr>
          <w:rFonts w:ascii="Amiri" w:hAnsi="Amiri"/>
          <w:sz w:val="22"/>
          <w:szCs w:val="22"/>
        </w:rPr>
        <w:t>,S.L.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NIF: B38381968 BC Exclusivas de Publicidad, S.L.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NIF: B38964243 Juan Lima Cuello radio FM, S.l.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2.- Apertura criterios basados en juicios de valor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Se procede a la apertura de los sobres de aquellas empresas que hayan sido admitidas: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La documentación aportada por los licitadores es aportada a los técnicos para su correspondiente evaluación.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3.- Valoración criterios basados en juicios de valor.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  <w:r>
        <w:rPr>
          <w:rFonts w:ascii="Amiri" w:hAnsi="Amiri"/>
          <w:sz w:val="22"/>
          <w:szCs w:val="22"/>
        </w:rPr>
        <w:t>Se aporta el informe de la Gerencia donde se detalla lo siguiente: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jc w:val="left"/>
        <w:rPr>
          <w:rFonts w:ascii="Amiri" w:hAnsi="Amiri"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 xml:space="preserve">Criterios de adjudicación CUALITATIVOS </w:t>
      </w:r>
      <w:r>
        <w:rPr>
          <w:rFonts w:ascii="Amiri" w:hAnsi="Amiri"/>
          <w:b/>
          <w:i/>
          <w:iCs/>
          <w:sz w:val="22"/>
          <w:szCs w:val="22"/>
        </w:rPr>
        <w:t>40 puntos</w:t>
      </w:r>
      <w:r>
        <w:rPr>
          <w:rFonts w:ascii="Amiri" w:hAnsi="Amiri"/>
          <w:i/>
          <w:iCs/>
          <w:sz w:val="22"/>
          <w:szCs w:val="22"/>
        </w:rPr>
        <w:t>: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Para poder expresar una puntuación lo mas objetiva posible se le asignan valores a cada parte de la siguiente forma.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Calidad y características del servicio a prestar: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1-Plan de marca, plan de gestión 5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2-Estrategia de comunicación alineado con el punto siguiente, incluyendo manual 25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3- Escaleta de acciones y soporte 10 puntos.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Se procede a valorar.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b/>
          <w:i/>
          <w:iCs/>
          <w:sz w:val="22"/>
          <w:szCs w:val="22"/>
        </w:rPr>
        <w:t xml:space="preserve">AS Agencia de Publicidad B38745865 </w:t>
      </w:r>
      <w:r>
        <w:rPr>
          <w:rFonts w:ascii="Amiri" w:hAnsi="Amiri"/>
          <w:i/>
          <w:iCs/>
          <w:sz w:val="22"/>
          <w:szCs w:val="22"/>
        </w:rPr>
        <w:t>puntuación 23 puntos.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1. Presenta manual de marca. Completo respetando el modelo actual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2. Estrategia de comunicación en publicidad exterior y prensa con varios eslogan. Nos describe con exactitud ni motiva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los soportes.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3. Escaleta de RRSS.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Analizada la oferta resulta ser algo pobre respecto a contenido y estrategia de comunicación puntuando cada apartado.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1. 3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2. 15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3.5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b/>
          <w:i/>
          <w:iCs/>
          <w:sz w:val="22"/>
          <w:szCs w:val="22"/>
        </w:rPr>
        <w:t xml:space="preserve">Marcha Go B38964243 </w:t>
      </w:r>
      <w:r>
        <w:rPr>
          <w:rFonts w:ascii="Amiri" w:hAnsi="Amiri"/>
          <w:i/>
          <w:iCs/>
          <w:sz w:val="22"/>
          <w:szCs w:val="22"/>
        </w:rPr>
        <w:t>puntuación 31 puntos.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1 Manual de marca, se basa en describir logotipo y eslogan. Siendo a este juicio algo pobre en su contenido.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2 Estrategia. Establece un plan de comunicación elaborado motivando los medios así como una elaboración detallada en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redes. Alinea la estrategia con los resultados esperados.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3.Presenta escaleta completa y soporte. Teniendo especial atención a hitos temporales.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1. 1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2. 20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3.10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b/>
          <w:i/>
          <w:iCs/>
          <w:sz w:val="22"/>
          <w:szCs w:val="22"/>
        </w:rPr>
        <w:t xml:space="preserve">BC Exclusivas Comunicación B38381968 </w:t>
      </w:r>
      <w:r>
        <w:rPr>
          <w:rFonts w:ascii="Amiri" w:hAnsi="Amiri"/>
          <w:i/>
          <w:iCs/>
          <w:sz w:val="22"/>
          <w:szCs w:val="22"/>
        </w:rPr>
        <w:t>puntuación 34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1. Presenta un manual de marca con rediseños, respetando la línea actual, lo que resulta útil para su uso.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2.En la estrategia de comunicación se centra en los contenidos de los mensajes alineándose con el soporte.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Mostrando ejemplos de los mensajes como se solicita en el pliego. Parte de la oferta son anejos a la misma.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3. Muestra las acciones motivando claramente los soportes donde se van a utilizar los medios, así como el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planteamiento de la inversión en publicidad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1. 4 puntos</w:t>
      </w:r>
    </w:p>
    <w:p>
      <w:pPr>
        <w:pStyle w:val="Normal"/>
        <w:jc w:val="left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2. 20 puntos</w:t>
      </w:r>
    </w:p>
    <w:p>
      <w:pPr>
        <w:pStyle w:val="Normal"/>
        <w:ind w:hanging="0" w:left="0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3.10 puntos</w:t>
      </w:r>
    </w:p>
    <w:p>
      <w:pPr>
        <w:pStyle w:val="Normal"/>
        <w:ind w:hanging="0" w:left="0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Una vez remitida la información por el equipo técnico, éste ha valorado las proposiciones técnicas de acuerdo a los criterios del PCAP de la siguiente manera: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NIF: B38745865 ASCOMUNICACION Y PUBLICIDAD,S.L.: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         </w:t>
      </w:r>
      <w:r>
        <w:rPr>
          <w:rFonts w:ascii="Amiri" w:hAnsi="Amiri"/>
          <w:sz w:val="22"/>
          <w:szCs w:val="22"/>
        </w:rPr>
        <w:t>- Proyecto  Puntuación: 23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NIF: B38381968 BC Exclusivas de Publicidad, S.L.: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         </w:t>
      </w:r>
      <w:r>
        <w:rPr>
          <w:rFonts w:ascii="Amiri" w:hAnsi="Amiri"/>
          <w:sz w:val="22"/>
          <w:szCs w:val="22"/>
        </w:rPr>
        <w:t>- Proyecto  Puntuación: 34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NIF: B38964243 Juan Lima Cuello radio FM, S.l.: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         </w:t>
      </w:r>
      <w:r>
        <w:rPr>
          <w:rFonts w:ascii="Amiri" w:hAnsi="Amiri"/>
          <w:sz w:val="22"/>
          <w:szCs w:val="22"/>
        </w:rPr>
        <w:t>- Proyecto  Puntuación: 31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4.- Apertura criterios evaluables automáticamente.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Atendiendo lo recogido en el PCAP:</w:t>
      </w:r>
    </w:p>
    <w:p>
      <w:pPr>
        <w:pStyle w:val="Normal"/>
        <w:tabs>
          <w:tab w:val="clear" w:pos="709"/>
          <w:tab w:val="left" w:pos="-1440" w:leader="none"/>
          <w:tab w:val="left" w:pos="-720" w:leader="none"/>
        </w:tabs>
        <w:spacing w:before="0" w:after="60"/>
        <w:jc w:val="both"/>
        <w:rPr/>
      </w:pPr>
      <w:r>
        <w:rPr>
          <w:rStyle w:val="Fuentedeprrafopredeter1"/>
          <w:rFonts w:cs="Verdana" w:ascii="Amiri" w:hAnsi="Amiri"/>
          <w:b/>
          <w:bCs/>
          <w:i/>
          <w:iCs/>
          <w:sz w:val="22"/>
          <w:szCs w:val="22"/>
          <w:u w:val="single"/>
        </w:rPr>
        <w:t>Criterios económicos</w:t>
      </w:r>
      <w:r>
        <w:rPr>
          <w:rStyle w:val="Fuentedeprrafopredeter1"/>
          <w:rFonts w:cs="Verdana" w:ascii="Amiri" w:hAnsi="Amiri"/>
          <w:b/>
          <w:bCs/>
          <w:i/>
          <w:iCs/>
          <w:sz w:val="22"/>
          <w:szCs w:val="22"/>
        </w:rPr>
        <w:t xml:space="preserve"> (evaluables mediante fórmulas o porcentajes); HASTA 60 PUNTOS: </w:t>
      </w:r>
    </w:p>
    <w:p>
      <w:pPr>
        <w:pStyle w:val="Normal"/>
        <w:tabs>
          <w:tab w:val="clear" w:pos="709"/>
          <w:tab w:val="left" w:pos="-1440" w:leader="none"/>
          <w:tab w:val="left" w:pos="-720" w:leader="none"/>
        </w:tabs>
        <w:spacing w:before="0" w:after="60"/>
        <w:jc w:val="both"/>
        <w:rPr>
          <w:rFonts w:ascii="Amiri" w:hAnsi="Amiri" w:cs="Verdana"/>
          <w:i/>
          <w:i/>
          <w:iCs/>
          <w:sz w:val="22"/>
          <w:szCs w:val="22"/>
        </w:rPr>
      </w:pPr>
      <w:r>
        <w:rPr>
          <w:rFonts w:cs="Verdana" w:ascii="Amiri" w:hAnsi="Amiri"/>
          <w:i/>
          <w:iCs/>
          <w:sz w:val="22"/>
          <w:szCs w:val="22"/>
        </w:rPr>
      </w:r>
    </w:p>
    <w:tbl>
      <w:tblPr>
        <w:tblW w:w="8574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54"/>
        <w:gridCol w:w="4320"/>
      </w:tblGrid>
      <w:tr>
        <w:trPr/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tulodelatabla"/>
              <w:rPr>
                <w:rFonts w:ascii="Amiri" w:hAnsi="Amiri" w:cs="Verdana"/>
                <w:i/>
                <w:i/>
                <w:iCs/>
                <w:sz w:val="22"/>
                <w:szCs w:val="22"/>
              </w:rPr>
            </w:pPr>
            <w:r>
              <w:rPr>
                <w:rFonts w:cs="Verdana" w:ascii="Amiri" w:hAnsi="Amiri"/>
                <w:i/>
                <w:iCs/>
                <w:sz w:val="22"/>
                <w:szCs w:val="22"/>
              </w:rPr>
              <w:t>CRITERIOS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tulodelatabla"/>
              <w:rPr>
                <w:rFonts w:ascii="Amiri" w:hAnsi="Amiri" w:cs="Verdana"/>
                <w:i/>
                <w:i/>
                <w:iCs/>
                <w:sz w:val="22"/>
                <w:szCs w:val="22"/>
              </w:rPr>
            </w:pPr>
            <w:r>
              <w:rPr>
                <w:rFonts w:cs="Verdana" w:ascii="Amiri" w:hAnsi="Amiri"/>
                <w:i/>
                <w:iCs/>
                <w:sz w:val="22"/>
                <w:szCs w:val="22"/>
              </w:rPr>
              <w:t>PUNTUACIÓN</w:t>
            </w:r>
          </w:p>
        </w:tc>
      </w:tr>
      <w:tr>
        <w:trPr/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miri" w:hAnsi="Amiri" w:eastAsia="Times New Roman" w:cs="Verdana"/>
                <w:b/>
                <w:bCs/>
                <w:i/>
                <w:i/>
                <w:iCs/>
                <w:sz w:val="22"/>
                <w:szCs w:val="22"/>
                <w:lang w:bidi="ar-SA"/>
              </w:rPr>
            </w:pPr>
            <w:r>
              <w:rPr>
                <w:rFonts w:eastAsia="Times New Roman" w:cs="Verdana" w:ascii="Amiri" w:hAnsi="Amiri"/>
                <w:b/>
                <w:bCs/>
                <w:i/>
                <w:iCs/>
                <w:sz w:val="22"/>
                <w:szCs w:val="22"/>
                <w:lang w:bidi="ar-SA"/>
              </w:rPr>
              <w:t>PORCENTAJE DEL IMPORTE DEL CONTRATO QUE SE DESTINARÁ A LA CONTRATACIÓN DE LAS CAMPAÑAS PUBLICITARIAS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jc w:val="center"/>
              <w:rPr>
                <w:rFonts w:ascii="Amiri" w:hAnsi="Amiri" w:cs="Verdana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Verdana" w:ascii="Amiri" w:hAnsi="Amiri"/>
                <w:b/>
                <w:bCs/>
                <w:i/>
                <w:iCs/>
                <w:sz w:val="22"/>
                <w:szCs w:val="22"/>
              </w:rPr>
              <w:t>48 PUNTOS</w:t>
            </w:r>
          </w:p>
        </w:tc>
      </w:tr>
      <w:tr>
        <w:trPr/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jc w:val="both"/>
              <w:rPr>
                <w:rFonts w:ascii="Amiri" w:hAnsi="Amiri" w:eastAsia="Times New Roman" w:cs="Verdana"/>
                <w:b/>
                <w:bCs/>
                <w:i/>
                <w:i/>
                <w:iCs/>
                <w:color w:val="auto"/>
                <w:kern w:val="2"/>
                <w:sz w:val="22"/>
                <w:szCs w:val="22"/>
                <w:lang w:val="es-ES" w:eastAsia="zh-CN" w:bidi="ar-SA"/>
              </w:rPr>
            </w:pPr>
            <w:r>
              <w:rPr>
                <w:rFonts w:eastAsia="Times New Roman" w:cs="Verdana" w:ascii="Amiri" w:hAnsi="Amiri"/>
                <w:b/>
                <w:bCs/>
                <w:i/>
                <w:iCs/>
                <w:color w:val="auto"/>
                <w:kern w:val="2"/>
                <w:sz w:val="22"/>
                <w:szCs w:val="22"/>
                <w:lang w:val="es-ES" w:eastAsia="zh-CN" w:bidi="ar-SA"/>
              </w:rPr>
              <w:t>INCREMENTOS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jc w:val="center"/>
              <w:rPr>
                <w:rFonts w:ascii="Amiri" w:hAnsi="Amiri"/>
                <w:i/>
                <w:i/>
                <w:iCs/>
                <w:sz w:val="22"/>
                <w:szCs w:val="22"/>
              </w:rPr>
            </w:pPr>
            <w:r>
              <w:rPr>
                <w:rFonts w:eastAsia="Verdana" w:cs="Verdana" w:ascii="Amiri" w:hAnsi="Amiri"/>
                <w:b/>
                <w:bCs/>
                <w:i/>
                <w:iCs/>
                <w:color w:val="auto"/>
                <w:kern w:val="2"/>
                <w:sz w:val="22"/>
                <w:szCs w:val="22"/>
                <w:lang w:val="es-ES" w:eastAsia="zh-CN" w:bidi="ar-SA"/>
              </w:rPr>
              <w:t xml:space="preserve">          </w:t>
            </w:r>
            <w:r>
              <w:rPr>
                <w:rFonts w:eastAsia="Times New Roman" w:cs="Verdana" w:ascii="Amiri" w:hAnsi="Amiri"/>
                <w:b/>
                <w:bCs/>
                <w:i/>
                <w:iCs/>
                <w:color w:val="auto"/>
                <w:kern w:val="2"/>
                <w:sz w:val="22"/>
                <w:szCs w:val="22"/>
                <w:lang w:val="es-ES" w:eastAsia="zh-CN" w:bidi="ar-SA"/>
              </w:rPr>
              <w:t>12  PUNTOS</w:t>
            </w:r>
          </w:p>
        </w:tc>
      </w:tr>
    </w:tbl>
    <w:p>
      <w:pPr>
        <w:pStyle w:val="Normal"/>
        <w:tabs>
          <w:tab w:val="clear" w:pos="709"/>
          <w:tab w:val="left" w:pos="-1440" w:leader="none"/>
          <w:tab w:val="left" w:pos="-720" w:leader="none"/>
        </w:tabs>
        <w:spacing w:before="0" w:after="60"/>
        <w:jc w:val="both"/>
        <w:rPr>
          <w:rFonts w:ascii="Amiri" w:hAnsi="Amiri" w:cs="Verdana"/>
          <w:b w:val="false"/>
          <w:bCs w:val="false"/>
          <w:i/>
          <w:i/>
          <w:iCs/>
          <w:sz w:val="22"/>
          <w:szCs w:val="22"/>
        </w:rPr>
      </w:pPr>
      <w:r>
        <w:rPr>
          <w:rFonts w:cs="Verdana" w:ascii="Amiri" w:hAnsi="Amiri"/>
          <w:b w:val="false"/>
          <w:bCs w:val="false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-1440" w:leader="none"/>
          <w:tab w:val="left" w:pos="-720" w:leader="none"/>
        </w:tabs>
        <w:spacing w:before="0" w:after="60"/>
        <w:jc w:val="both"/>
        <w:rPr>
          <w:rFonts w:ascii="Amiri" w:hAnsi="Amiri"/>
          <w:i/>
          <w:i/>
          <w:iCs/>
          <w:sz w:val="22"/>
          <w:szCs w:val="22"/>
        </w:rPr>
      </w:pPr>
      <w:r>
        <w:rPr>
          <w:rFonts w:eastAsia="Times New Roman" w:cs="Verdana" w:ascii="Amiri" w:hAnsi="Amiri"/>
          <w:b/>
          <w:bCs/>
          <w:i/>
          <w:iCs/>
          <w:sz w:val="22"/>
          <w:szCs w:val="22"/>
          <w:lang w:bidi="ar-SA"/>
        </w:rPr>
        <w:t>PORCENTAJE DEL IMPORTE DEL CONTRATO QUE SE DESTINARÁ A LA CONTRATACIÓN DE LAS CAMPAÑAS PUBLICITARIAS:</w:t>
      </w:r>
      <w:r>
        <w:rPr>
          <w:rFonts w:cs="Verdana" w:ascii="Amiri" w:hAnsi="Amiri"/>
          <w:b w:val="false"/>
          <w:bCs w:val="false"/>
          <w:i/>
          <w:iCs/>
          <w:sz w:val="22"/>
          <w:szCs w:val="22"/>
        </w:rPr>
        <w:t>En este criterio se valorará con 1,6 puntos por cada 1 % del importe del contrato que el licitador se comprometa a destinar a la contratación de los espacios publicitarios destinados a promocionar las diferentes campañas. Únicamente se admitirán las ofertas que supongan una inversión en contratación de espacios de, al menos, un 7</w:t>
      </w:r>
      <w:r>
        <w:rPr>
          <w:rFonts w:eastAsia="SimSun;宋体" w:cs="Verdana" w:ascii="Amiri" w:hAnsi="Amiri"/>
          <w:b w:val="false"/>
          <w:bCs w:val="false"/>
          <w:i/>
          <w:iCs/>
          <w:color w:val="auto"/>
          <w:kern w:val="2"/>
          <w:sz w:val="22"/>
          <w:szCs w:val="22"/>
          <w:lang w:val="es-ES" w:eastAsia="zh-CN" w:bidi="hi-IN"/>
        </w:rPr>
        <w:t>0</w:t>
      </w:r>
      <w:r>
        <w:rPr>
          <w:rFonts w:cs="Verdana" w:ascii="Amiri" w:hAnsi="Amiri"/>
          <w:b w:val="false"/>
          <w:bCs w:val="false"/>
          <w:i/>
          <w:iCs/>
          <w:sz w:val="22"/>
          <w:szCs w:val="22"/>
        </w:rPr>
        <w:t xml:space="preserve"> % del importe total del gasto sin IGIC señalado en la cláusula 5 del presente pliego.</w:t>
      </w:r>
    </w:p>
    <w:p>
      <w:pPr>
        <w:pStyle w:val="Contenidodelatabla"/>
        <w:jc w:val="both"/>
        <w:rPr>
          <w:rFonts w:ascii="Amiri" w:hAnsi="Amiri" w:eastAsia="Times New Roman" w:cs="Verdana"/>
          <w:b/>
          <w:bCs/>
          <w:i/>
          <w:i/>
          <w:iCs/>
          <w:color w:val="auto"/>
          <w:kern w:val="2"/>
          <w:sz w:val="22"/>
          <w:szCs w:val="22"/>
          <w:lang w:val="es-ES" w:eastAsia="zh-CN" w:bidi="ar-SA"/>
        </w:rPr>
      </w:pPr>
      <w:r>
        <w:rPr>
          <w:rFonts w:eastAsia="Times New Roman" w:cs="Verdana" w:ascii="Amiri" w:hAnsi="Amiri"/>
          <w:b/>
          <w:bCs/>
          <w:i/>
          <w:iCs/>
          <w:color w:val="auto"/>
          <w:kern w:val="2"/>
          <w:sz w:val="22"/>
          <w:szCs w:val="22"/>
          <w:lang w:val="es-ES" w:eastAsia="zh-CN" w:bidi="ar-SA"/>
        </w:rPr>
        <w:t>INCREMENTOS:</w:t>
      </w:r>
    </w:p>
    <w:p>
      <w:pPr>
        <w:pStyle w:val="Normal"/>
        <w:jc w:val="both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Incremento del número de publicaciones en redes sociales con relación a las mínimas exigidas</w:t>
      </w:r>
    </w:p>
    <w:p>
      <w:pPr>
        <w:pStyle w:val="Normal"/>
        <w:jc w:val="both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Incremento de la elaboración de piezas gráficas con relación a los mínimos exigidos</w:t>
      </w:r>
    </w:p>
    <w:p>
      <w:pPr>
        <w:pStyle w:val="Normal"/>
        <w:ind w:left="709" w:right="0"/>
        <w:rPr>
          <w:rFonts w:ascii="Amiri" w:hAnsi="Amiri"/>
          <w:b/>
          <w:bCs/>
          <w:i/>
          <w:i/>
          <w:iCs/>
          <w:sz w:val="22"/>
          <w:szCs w:val="22"/>
        </w:rPr>
      </w:pPr>
      <w:r>
        <w:rPr>
          <w:rFonts w:ascii="Amiri" w:hAnsi="Amiri"/>
          <w:b/>
          <w:bCs/>
          <w:i/>
          <w:iCs/>
          <w:sz w:val="22"/>
          <w:szCs w:val="22"/>
        </w:rPr>
        <w:t xml:space="preserve">Facebook: </w:t>
      </w:r>
    </w:p>
    <w:p>
      <w:pPr>
        <w:pStyle w:val="ListParagraph"/>
        <w:ind w:hanging="0" w:left="3939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 publicaciones semana: 2 puntos</w:t>
      </w:r>
    </w:p>
    <w:p>
      <w:pPr>
        <w:pStyle w:val="Normal"/>
        <w:ind w:left="709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Normal"/>
        <w:ind w:left="709" w:right="0"/>
        <w:rPr>
          <w:rFonts w:ascii="Amiri" w:hAnsi="Amiri"/>
          <w:b/>
          <w:bCs/>
          <w:i/>
          <w:i/>
          <w:iCs/>
          <w:sz w:val="22"/>
          <w:szCs w:val="22"/>
        </w:rPr>
      </w:pPr>
      <w:r>
        <w:rPr>
          <w:rFonts w:ascii="Amiri" w:hAnsi="Amiri"/>
          <w:b/>
          <w:bCs/>
          <w:i/>
          <w:iCs/>
          <w:sz w:val="22"/>
          <w:szCs w:val="22"/>
        </w:rPr>
        <w:t>Instagram:</w:t>
      </w:r>
    </w:p>
    <w:p>
      <w:pPr>
        <w:pStyle w:val="ListParagraph"/>
        <w:ind w:hanging="0" w:left="3939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 publicaciones semana: 2 puntos</w:t>
      </w:r>
    </w:p>
    <w:p>
      <w:pPr>
        <w:pStyle w:val="Normal"/>
        <w:ind w:left="709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Normal"/>
        <w:ind w:left="709" w:right="0"/>
        <w:rPr>
          <w:rFonts w:ascii="Amiri" w:hAnsi="Amiri"/>
          <w:b/>
          <w:bCs/>
          <w:i/>
          <w:i/>
          <w:iCs/>
          <w:sz w:val="22"/>
          <w:szCs w:val="22"/>
        </w:rPr>
      </w:pPr>
      <w:r>
        <w:rPr>
          <w:rFonts w:ascii="Amiri" w:hAnsi="Amiri"/>
          <w:b/>
          <w:bCs/>
          <w:i/>
          <w:iCs/>
          <w:sz w:val="22"/>
          <w:szCs w:val="22"/>
        </w:rPr>
        <w:t>Elaboración de piezas gráficas:</w:t>
      </w:r>
    </w:p>
    <w:p>
      <w:pPr>
        <w:pStyle w:val="ListParagraph"/>
        <w:ind w:hanging="0" w:left="3939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3  al mes: 2 puntos</w:t>
      </w:r>
    </w:p>
    <w:p>
      <w:pPr>
        <w:pStyle w:val="ListParagraph"/>
        <w:ind w:left="0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ListParagraph"/>
        <w:ind w:left="0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ab/>
      </w:r>
      <w:r>
        <w:rPr>
          <w:rFonts w:ascii="Amiri" w:hAnsi="Amiri"/>
          <w:b/>
          <w:bCs/>
          <w:i/>
          <w:iCs/>
          <w:sz w:val="22"/>
          <w:szCs w:val="22"/>
        </w:rPr>
        <w:t>Exterior en Granadilla: valla publicitaria 8x3 metros</w:t>
      </w:r>
      <w:r>
        <w:rPr>
          <w:rFonts w:ascii="Amiri" w:hAnsi="Amiri"/>
          <w:i/>
          <w:iCs/>
          <w:sz w:val="22"/>
          <w:szCs w:val="22"/>
        </w:rPr>
        <w:t xml:space="preserve"> / 2 meses</w:t>
      </w:r>
    </w:p>
    <w:p>
      <w:pPr>
        <w:pStyle w:val="ListParagraph"/>
        <w:numPr>
          <w:ilvl w:val="0"/>
          <w:numId w:val="5"/>
        </w:numPr>
        <w:rPr>
          <w:rFonts w:ascii="Amiri" w:hAnsi="Amiri"/>
          <w:i/>
          <w:i/>
          <w:iCs/>
          <w:sz w:val="22"/>
          <w:szCs w:val="22"/>
        </w:rPr>
      </w:pPr>
      <w:r>
        <w:rPr>
          <w:rFonts w:eastAsia="Liberation Serif;Times New Roman" w:cs="Liberation Serif;Times New Roman" w:ascii="Amiri" w:hAnsi="Amiri"/>
          <w:i/>
          <w:iCs/>
          <w:sz w:val="22"/>
          <w:szCs w:val="22"/>
        </w:rPr>
        <w:t xml:space="preserve"> </w:t>
      </w:r>
      <w:r>
        <w:rPr>
          <w:rFonts w:ascii="Amiri" w:hAnsi="Amiri"/>
          <w:i/>
          <w:iCs/>
          <w:sz w:val="22"/>
          <w:szCs w:val="22"/>
        </w:rPr>
        <w:t>1 valla : 2 puntos</w:t>
      </w:r>
    </w:p>
    <w:p>
      <w:pPr>
        <w:pStyle w:val="ListParagraph"/>
        <w:numPr>
          <w:ilvl w:val="0"/>
          <w:numId w:val="5"/>
        </w:numPr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  <w:t>2 vallas : 3 puntos</w:t>
      </w:r>
    </w:p>
    <w:p>
      <w:pPr>
        <w:pStyle w:val="Normal"/>
        <w:ind w:left="709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b/>
          <w:bCs/>
          <w:i/>
          <w:iCs/>
          <w:sz w:val="22"/>
          <w:szCs w:val="22"/>
        </w:rPr>
        <w:t>Exterior en Granadilla: Mupi urbano</w:t>
      </w:r>
      <w:r>
        <w:rPr>
          <w:rFonts w:ascii="Amiri" w:hAnsi="Amiri"/>
          <w:i/>
          <w:iCs/>
          <w:sz w:val="22"/>
          <w:szCs w:val="22"/>
        </w:rPr>
        <w:t xml:space="preserve"> / 2 meses</w:t>
      </w:r>
    </w:p>
    <w:p>
      <w:pPr>
        <w:pStyle w:val="Normal"/>
        <w:ind w:left="709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eastAsia="Liberation Serif;Times New Roman" w:cs="Liberation Serif;Times New Roman" w:ascii="Amiri" w:hAnsi="Amiri"/>
          <w:i/>
          <w:iCs/>
          <w:sz w:val="22"/>
          <w:szCs w:val="22"/>
        </w:rPr>
        <w:t xml:space="preserve">  </w:t>
      </w:r>
      <w:r>
        <w:rPr>
          <w:rFonts w:ascii="Amiri" w:hAnsi="Amiri"/>
          <w:i/>
          <w:iCs/>
          <w:sz w:val="22"/>
          <w:szCs w:val="22"/>
        </w:rPr>
        <w:t>2uds: 2 puntos</w:t>
      </w:r>
    </w:p>
    <w:p>
      <w:pPr>
        <w:pStyle w:val="ListParagraph"/>
        <w:ind w:hanging="0" w:left="3960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eastAsia="Liberation Serif;Times New Roman" w:cs="Liberation Serif;Times New Roman" w:ascii="Amiri" w:hAnsi="Amiri"/>
          <w:i/>
          <w:iCs/>
          <w:sz w:val="22"/>
          <w:szCs w:val="22"/>
        </w:rPr>
        <w:t xml:space="preserve">              </w:t>
      </w:r>
      <w:r>
        <w:rPr>
          <w:rFonts w:ascii="Amiri" w:hAnsi="Amiri"/>
          <w:i/>
          <w:iCs/>
          <w:sz w:val="22"/>
          <w:szCs w:val="22"/>
        </w:rPr>
        <w:t>3uds. : 3 puntos.</w:t>
      </w:r>
    </w:p>
    <w:p>
      <w:pPr>
        <w:pStyle w:val="Normal"/>
        <w:ind w:hanging="0" w:left="0" w:right="0"/>
        <w:rPr>
          <w:rFonts w:ascii="Amiri" w:hAnsi="Amiri"/>
          <w:i/>
          <w:i/>
          <w:iCs/>
          <w:sz w:val="22"/>
          <w:szCs w:val="22"/>
        </w:rPr>
      </w:pPr>
      <w:r>
        <w:rPr>
          <w:rFonts w:ascii="Amiri" w:hAnsi="Amiri"/>
          <w:i/>
          <w:iCs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Quedando la puntuación de los tres licitadores de la siguiente manera: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tbl>
      <w:tblPr>
        <w:tblW w:w="9107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87"/>
        <w:gridCol w:w="1279"/>
        <w:gridCol w:w="1281"/>
        <w:gridCol w:w="1279"/>
        <w:gridCol w:w="1281"/>
      </w:tblGrid>
      <w:tr>
        <w:trPr>
          <w:trHeight w:val="1223" w:hRule="atLeast"/>
        </w:trPr>
        <w:tc>
          <w:tcPr>
            <w:tcW w:w="39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% destinado a la contratación de las campañas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Puntuación</w:t>
            </w:r>
          </w:p>
        </w:tc>
        <w:tc>
          <w:tcPr>
            <w:tcW w:w="1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Incrementos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Puntuación</w:t>
            </w:r>
          </w:p>
        </w:tc>
      </w:tr>
      <w:tr>
        <w:trPr>
          <w:trHeight w:val="255" w:hRule="atLeast"/>
        </w:trPr>
        <w:tc>
          <w:tcPr>
            <w:tcW w:w="39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BC Exclusivas de Publicidad, S.L.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96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41,6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Sí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39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ASCOMUNICACION Y PUBLICIDAD,S.L.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85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24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Sí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39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Juan Lima Cuello radio FM, S.l.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90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32</w:t>
            </w:r>
          </w:p>
        </w:tc>
        <w:tc>
          <w:tcPr>
            <w:tcW w:w="1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Sí</w:t>
            </w:r>
          </w:p>
        </w:tc>
        <w:tc>
          <w:tcPr>
            <w:tcW w:w="128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miri" w:hAnsi="Amiri"/>
                <w:sz w:val="22"/>
                <w:szCs w:val="22"/>
              </w:rPr>
            </w:pPr>
            <w:r>
              <w:rPr>
                <w:rFonts w:ascii="Amiri" w:hAnsi="Amiri"/>
                <w:sz w:val="22"/>
                <w:szCs w:val="22"/>
              </w:rPr>
              <w:t>12</w:t>
            </w:r>
          </w:p>
        </w:tc>
      </w:tr>
    </w:tbl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Todas las empresas ofertan incrementos siendo BC Exclusivas quien oferta mayor incremento del porcentaje en la contratación de campañas.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6.- Propuesta adjudicación: 2-2024 comunicación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De acuerdo a la evaluación de las propuestas aportadas por los licitadores, la mesa concluye la siguiente lista ordenada de manera decreciente de puntuación de acuerdo a las puntuaciones obtenidas por los licitadores en las diferentes fases: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Orden: 1NIF: B38381968 BC Exclusivas de Publicidad, S.L. </w:t>
      </w:r>
      <w:r>
        <w:rPr>
          <w:rFonts w:ascii="Amiri" w:hAnsi="Amiri"/>
          <w:b/>
          <w:bCs/>
          <w:sz w:val="22"/>
          <w:szCs w:val="22"/>
        </w:rPr>
        <w:t>Propuesto para la adjudicación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criterios CJV: 34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criterios CAF: 53.6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puntuación: 87.6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Orden: 2NIF: B38964243 Juan Lima Cuello radio FM, S.l.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criterios CJV: 31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criterios CAF: 44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puntuación: 75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Orden: 3NIF: B38745865 ASCOMUNICACION Y PUBLICIDAD,S.L.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criterios CJV: 23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criterios CAF: 36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Total puntuación: 59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Yo, como Secretario, certifico con el visto bueno del Presidente: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  <w:r>
        <w:rPr>
          <w:rFonts w:ascii="Amiri" w:hAnsi="Amiri"/>
          <w:sz w:val="22"/>
          <w:szCs w:val="22"/>
        </w:rPr>
        <w:t>Manuel Ortiz Correa</w:t>
        <w:tab/>
        <w:tab/>
        <w:tab/>
        <w:tab/>
        <w:tab/>
        <w:tab/>
      </w:r>
      <w:r>
        <w:rPr>
          <w:rFonts w:ascii="Amiri" w:hAnsi="Amiri"/>
          <w:sz w:val="22"/>
          <w:szCs w:val="22"/>
        </w:rPr>
        <w:t>Marcos Antonio Rodríguez Santana</w:t>
      </w:r>
      <w:r>
        <w:rPr>
          <w:rFonts w:ascii="Amiri" w:hAnsi="Amiri"/>
          <w:sz w:val="22"/>
          <w:szCs w:val="22"/>
        </w:rPr>
        <w:t>.</w:t>
        <w:tab/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>SECRETARIO</w:t>
        <w:tab/>
      </w:r>
      <w:r>
        <w:rPr>
          <w:rFonts w:ascii="Amiri" w:hAnsi="Amiri"/>
          <w:sz w:val="22"/>
          <w:szCs w:val="22"/>
        </w:rPr>
        <w:t>Y VOCAL</w:t>
      </w:r>
      <w:r>
        <w:rPr>
          <w:rFonts w:ascii="Amiri" w:hAnsi="Amiri"/>
          <w:sz w:val="22"/>
          <w:szCs w:val="22"/>
        </w:rPr>
        <w:tab/>
        <w:tab/>
        <w:tab/>
        <w:tab/>
        <w:tab/>
        <w:t>PRESIDENTE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</w:r>
    </w:p>
    <w:p>
      <w:pPr>
        <w:pStyle w:val="Normal"/>
        <w:ind w:hanging="0" w:left="0" w:right="0"/>
        <w:rPr>
          <w:rFonts w:ascii="Amiri" w:hAnsi="Amiri"/>
          <w:sz w:val="22"/>
          <w:szCs w:val="22"/>
        </w:rPr>
      </w:pPr>
      <w:r>
        <w:rPr>
          <w:rFonts w:ascii="Amiri" w:hAnsi="Amiri"/>
          <w:sz w:val="22"/>
          <w:szCs w:val="22"/>
        </w:rPr>
        <w:t xml:space="preserve">D. </w:t>
      </w:r>
      <w:r>
        <w:rPr>
          <w:rFonts w:ascii="Amiri" w:hAnsi="Amiri"/>
          <w:sz w:val="22"/>
          <w:szCs w:val="22"/>
        </w:rPr>
        <w:t>Carlos Díaz Hernández</w:t>
      </w:r>
      <w:r>
        <w:rPr>
          <w:rFonts w:ascii="Amiri" w:hAnsi="Amiri"/>
          <w:sz w:val="22"/>
          <w:szCs w:val="22"/>
        </w:rPr>
        <w:tab/>
        <w:tab/>
        <w:tab/>
        <w:tab/>
        <w:tab/>
        <w:t xml:space="preserve">D. </w:t>
      </w:r>
      <w:r>
        <w:rPr>
          <w:rFonts w:ascii="Amiri" w:hAnsi="Amiri"/>
          <w:sz w:val="22"/>
          <w:szCs w:val="22"/>
        </w:rPr>
        <w:t>Jose Manuel Luis Pérez</w:t>
      </w:r>
      <w:r>
        <w:rPr>
          <w:rFonts w:ascii="Amiri" w:hAnsi="Amiri"/>
          <w:sz w:val="22"/>
          <w:szCs w:val="22"/>
        </w:rPr>
        <w:tab/>
        <w:tab/>
        <w:t xml:space="preserve">  VOCA</w:t>
      </w:r>
      <w:r>
        <w:rPr>
          <w:rFonts w:ascii="Amiri" w:hAnsi="Amiri"/>
          <w:sz w:val="22"/>
          <w:szCs w:val="22"/>
        </w:rPr>
        <w:t>L</w:t>
        <w:tab/>
        <w:tab/>
        <w:tab/>
        <w:tab/>
        <w:tab/>
        <w:tab/>
        <w:tab/>
        <w:tab/>
      </w:r>
      <w:r>
        <w:rPr>
          <w:rFonts w:ascii="Amiri" w:hAnsi="Amiri"/>
          <w:sz w:val="22"/>
          <w:szCs w:val="22"/>
        </w:rPr>
        <w:t>VOCAL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969" w:footer="1134" w:bottom="192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miri">
    <w:charset w:val="00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enter" w:pos="0" w:leader="none"/>
        <w:tab w:val="right" w:pos="9638" w:leader="none"/>
      </w:tabs>
      <w:jc w:val="both"/>
      <w:rPr>
        <w:sz w:val="16"/>
        <w:szCs w:val="16"/>
        <w:lang w:val="es-ES" w:eastAsia="es-ES"/>
      </w:rPr>
    </w:pP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E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 xml:space="preserve">xpediente de contratación 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2-2024. Comunicación</w:t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6180455</wp:posOffset>
          </wp:positionH>
          <wp:positionV relativeFrom="paragraph">
            <wp:posOffset>8246745</wp:posOffset>
          </wp:positionV>
          <wp:extent cx="477520" cy="930275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Caracteresdenotafinal">
    <w:name w:val="Caracteres de nota final"/>
    <w:qFormat/>
    <w:rPr/>
  </w:style>
  <w:style w:type="character" w:styleId="EndnoteReference">
    <w:name w:val="endnote reference"/>
    <w:rPr>
      <w:vertAlign w:val="superscript"/>
    </w:rPr>
  </w:style>
  <w:style w:type="character" w:styleId="Smbolosdenumeracin">
    <w:name w:val="Símbolos de numeración"/>
    <w:qFormat/>
    <w:rPr/>
  </w:style>
  <w:style w:type="character" w:styleId="Fuentedeprrafopredeter">
    <w:name w:val="Fuente de párrafo predeter."/>
    <w:qFormat/>
    <w:rPr/>
  </w:style>
  <w:style w:type="character" w:styleId="Ninguno">
    <w:name w:val="Ninguno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Fuentedeprrafopredeter1">
    <w:name w:val="Fuente de párrafo predeter.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EndnoteText">
    <w:name w:val="end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Footer">
    <w:name w:val="foot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s-ES" w:eastAsia="zh-CN" w:bidi="ar-SA"/>
    </w:rPr>
  </w:style>
  <w:style w:type="paragraph" w:styleId="ListParagraph">
    <w:name w:val="List Paragraph"/>
    <w:basedOn w:val="Normal"/>
    <w:qFormat/>
    <w:pPr>
      <w:ind w:hanging="0" w:left="2510" w:right="0"/>
      <w:jc w:val="both"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320</TotalTime>
  <Application>LibreOffice/25.2.4.3$Windows_x86 LibreOffice_project/33e196637044ead23f5c3226cde09b47731f7e27</Application>
  <AppVersion>15.0000</AppVersion>
  <Pages>7</Pages>
  <Words>1088</Words>
  <Characters>6011</Characters>
  <CharactersWithSpaces>7072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2021-03-12T12:53:09Z</dcterms:created>
  <dc:creator/>
  <dc:description/>
  <dc:language>es-ES</dc:language>
  <cp:lastModifiedBy/>
  <cp:lastPrinted>2025-07-09T13:36:22Z</cp:lastPrinted>
  <dcterms:modified xsi:type="dcterms:W3CDTF">2024-04-22T13:21:59Z</dcterms:modified>
  <cp:revision>11</cp:revision>
  <dc:subject/>
  <dc:title/>
</cp:coreProperties>
</file>