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emf" ContentType="image/x-emf"/>
  <Override PartName="/word/media/image3.jpeg" ContentType="image/jpeg"/>
  <Override PartName="/word/embeddings/oleObject1.xlsx" ContentType="application/vnd.openxmlformats-officedocument.spreadsheetml.shee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-4169410</wp:posOffset>
                </wp:positionH>
                <wp:positionV relativeFrom="paragraph">
                  <wp:posOffset>3653790</wp:posOffset>
                </wp:positionV>
                <wp:extent cx="7520940" cy="531495"/>
                <wp:effectExtent l="16510" t="1270" r="16510" b="127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15000">
                          <a:off x="0" y="0"/>
                          <a:ext cx="7521120" cy="53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Arial" w:hAnsi="Arial" w:cs="Arial"/>
                                <w:lang w:val="es-ES_tradnl"/>
                              </w:rPr>
                              <w:t>Servicios Municipales de Granadilla de Abona, S.L. B38711248, Lugar Plaza Gonzalez, Mena s/n, 38600, Granadilla de Abona. Tf: 922 758 116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a1" stroked="f" o:allowincell="f" style="position:absolute;margin-left:-328.3pt;margin-top:287.7pt;width:592.15pt;height:41.8pt;mso-wrap-style:square;v-text-anchor:middle;rotation:270" type="_x0000_t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14"/>
                          <w:szCs w:val="14"/>
                          <w:rFonts w:ascii="Arial" w:hAnsi="Arial" w:cs="Arial"/>
                          <w:lang w:val="es-ES_tradnl"/>
                        </w:rPr>
                        <w:t>Servicios Municipales de Granadilla de Abona, S.L. B38711248, Lugar Plaza Gonzalez, Mena s/n, 38600, Granadilla de Abona. Tf: 922 758 116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drawing>
          <wp:anchor behindDoc="0" distT="0" distB="0" distL="114935" distR="114935" simplePos="0" locked="0" layoutInCell="0" allowOverlap="1" relativeHeight="7">
            <wp:simplePos x="0" y="0"/>
            <wp:positionH relativeFrom="column">
              <wp:posOffset>-94615</wp:posOffset>
            </wp:positionH>
            <wp:positionV relativeFrom="paragraph">
              <wp:posOffset>-891540</wp:posOffset>
            </wp:positionV>
            <wp:extent cx="1412875" cy="618490"/>
            <wp:effectExtent l="0" t="0" r="0" b="0"/>
            <wp:wrapSquare wrapText="bothSides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-1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ind w:hanging="0" w:left="0" w:right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ACTA DE LA MESA DE CONTRATACIÓN</w:t>
      </w:r>
    </w:p>
    <w:p>
      <w:pPr>
        <w:pStyle w:val="Normal"/>
        <w:ind w:hanging="0" w:left="0" w:right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-7080" w:leader="none"/>
          <w:tab w:val="left" w:pos="0" w:leader="none"/>
          <w:tab w:val="left" w:pos="708" w:leader="none"/>
          <w:tab w:val="left" w:pos="1416" w:leader="none"/>
        </w:tabs>
        <w:spacing w:before="0" w:after="33"/>
        <w:ind w:hanging="0" w:left="0" w:right="-23"/>
        <w:jc w:val="both"/>
        <w:rPr/>
      </w:pPr>
      <w:r>
        <w:rPr>
          <w:rStyle w:val="Textoennegrita"/>
          <w:rFonts w:eastAsia="Arial" w:cs="Arial"/>
          <w:i/>
          <w:iCs/>
          <w:color w:val="000000"/>
          <w:spacing w:val="-3"/>
          <w:kern w:val="2"/>
          <w:sz w:val="22"/>
          <w:szCs w:val="22"/>
          <w:shd w:fill="auto" w:val="clear"/>
          <w:lang w:val="es-ES_tradnl" w:eastAsia="ar-SA" w:bidi="ar-SA"/>
        </w:rPr>
        <w:t xml:space="preserve">SUMINISTRO CONSISTENTE EN EL RENTING (ARRENDAMIENTO Y MANTENIMIENTO INTEGRAL) </w:t>
      </w:r>
      <w:r>
        <w:rPr>
          <w:rStyle w:val="Textoennegrita"/>
          <w:rFonts w:eastAsia="Arial" w:cs="Arial"/>
          <w:i/>
          <w:iCs/>
          <w:color w:val="000000"/>
          <w:spacing w:val="-3"/>
          <w:kern w:val="2"/>
          <w:sz w:val="22"/>
          <w:szCs w:val="22"/>
          <w:shd w:fill="auto" w:val="clear"/>
          <w:lang w:val="es-ES_tradnl" w:eastAsia="ar-SA" w:bidi="ar-SA"/>
        </w:rPr>
        <w:t xml:space="preserve">DE IMPRESORAS MULTIFUNCIONALES PARA </w:t>
      </w:r>
      <w:r>
        <w:rPr>
          <w:rStyle w:val="Textoennegrita"/>
          <w:rFonts w:eastAsia="Arial" w:cs="Arial"/>
          <w:i/>
          <w:iCs/>
          <w:color w:val="000000"/>
          <w:spacing w:val="-3"/>
          <w:kern w:val="2"/>
          <w:sz w:val="22"/>
          <w:szCs w:val="22"/>
          <w:shd w:fill="auto" w:val="clear"/>
          <w:lang w:val="es-ES_tradnl" w:eastAsia="ar-SA" w:bidi="ar-SA"/>
        </w:rPr>
        <w:t xml:space="preserve">SERVICIOS MUNICIPALES </w:t>
      </w:r>
      <w:r>
        <w:rPr>
          <w:rStyle w:val="Textoennegrita"/>
          <w:rFonts w:eastAsia="Arial" w:cs="Arial"/>
          <w:i/>
          <w:iCs/>
          <w:color w:val="000000"/>
          <w:spacing w:val="-3"/>
          <w:kern w:val="2"/>
          <w:sz w:val="22"/>
          <w:szCs w:val="22"/>
          <w:shd w:fill="auto" w:val="clear"/>
          <w:lang w:val="es-ES_tradnl" w:eastAsia="ar-SA" w:bidi="ar-SA"/>
        </w:rPr>
        <w:t xml:space="preserve"> DE GRANADILLA DE ABONA</w:t>
      </w:r>
    </w:p>
    <w:p>
      <w:pPr>
        <w:pStyle w:val="Normal"/>
        <w:ind w:hanging="0" w:left="0" w:righ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0"/>
          <w:szCs w:val="20"/>
          <w:u w:val="single"/>
        </w:rPr>
      </w:pPr>
      <w:r>
        <w:rPr>
          <w:rFonts w:ascii="Amiri" w:hAnsi="Amiri"/>
          <w:b/>
          <w:sz w:val="20"/>
          <w:szCs w:val="20"/>
          <w:u w:val="single"/>
        </w:rPr>
        <w:t>Fecha y hora de celebración</w:t>
      </w:r>
    </w:p>
    <w:p>
      <w:pPr>
        <w:pStyle w:val="Normal"/>
        <w:ind w:hanging="0" w:left="0" w:right="0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30 de enero de 2021 siendo las 10:30</w:t>
      </w:r>
      <w:r>
        <w:rPr>
          <w:rFonts w:ascii="Amiri" w:hAnsi="Amiri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0"/>
          <w:szCs w:val="20"/>
          <w:u w:val="single"/>
        </w:rPr>
      </w:pPr>
      <w:r>
        <w:rPr>
          <w:rFonts w:ascii="Amiri" w:hAnsi="Amiri"/>
          <w:b/>
          <w:sz w:val="20"/>
          <w:szCs w:val="20"/>
          <w:u w:val="single"/>
        </w:rPr>
        <w:t>Lugar de celebración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>Sala de comisiones del Ayuntamiento de Granadilla de Abona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0"/>
          <w:szCs w:val="20"/>
          <w:u w:val="single"/>
        </w:rPr>
      </w:pPr>
      <w:r>
        <w:rPr>
          <w:rFonts w:ascii="Amiri" w:hAnsi="Amiri"/>
          <w:b/>
          <w:sz w:val="20"/>
          <w:szCs w:val="20"/>
          <w:u w:val="single"/>
        </w:rPr>
        <w:t>Asistentes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 xml:space="preserve">D. Marco </w:t>
      </w:r>
      <w:r>
        <w:rPr>
          <w:rFonts w:ascii="Amiri" w:hAnsi="Amiri"/>
          <w:sz w:val="20"/>
          <w:szCs w:val="20"/>
        </w:rPr>
        <w:t>Antonio Rodríguez Santana</w:t>
      </w:r>
      <w:r>
        <w:rPr>
          <w:rFonts w:ascii="Amiri" w:hAnsi="Amiri"/>
          <w:sz w:val="20"/>
          <w:szCs w:val="20"/>
        </w:rPr>
        <w:t>, PRESIDENTE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>D. Carlos Díaz Hernández, como VOCAL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 xml:space="preserve">D. </w:t>
      </w:r>
      <w:r>
        <w:rPr>
          <w:rFonts w:ascii="Amiri" w:hAnsi="Amiri"/>
          <w:sz w:val="20"/>
          <w:szCs w:val="20"/>
        </w:rPr>
        <w:t>Jose Manuel Luis Pérez</w:t>
      </w:r>
      <w:r>
        <w:rPr>
          <w:rFonts w:ascii="Amiri" w:hAnsi="Amiri"/>
          <w:sz w:val="20"/>
          <w:szCs w:val="20"/>
        </w:rPr>
        <w:t>, INTERVENTOR AYUNTAMIENTO DE GRANADILLA DE ABONA, como VOCAL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 xml:space="preserve">D. Manuel Ortiz Correa,SECRETARIO AYUNTAMIENTO DE GRANADILLA DE ABONA  como </w:t>
      </w:r>
      <w:r>
        <w:rPr>
          <w:rFonts w:ascii="Amiri" w:hAnsi="Amiri"/>
          <w:sz w:val="20"/>
          <w:szCs w:val="20"/>
        </w:rPr>
        <w:t xml:space="preserve">VOCAL Y </w:t>
      </w:r>
      <w:r>
        <w:rPr>
          <w:rFonts w:ascii="Amiri" w:hAnsi="Amiri"/>
          <w:sz w:val="20"/>
          <w:szCs w:val="20"/>
        </w:rPr>
        <w:t>SECRETARIO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0"/>
          <w:szCs w:val="20"/>
          <w:u w:val="single"/>
        </w:rPr>
      </w:pPr>
      <w:r>
        <w:rPr>
          <w:rFonts w:ascii="Amiri" w:hAnsi="Amiri"/>
          <w:b/>
          <w:sz w:val="20"/>
          <w:szCs w:val="20"/>
          <w:u w:val="single"/>
        </w:rPr>
        <w:t>Orden del día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1.- Apertura y calificación administrativa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2.- Apertura criterios evaluables automáticamente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3.- Valoración criterios evaluables automáticamente</w:t>
      </w:r>
    </w:p>
    <w:p>
      <w:pPr>
        <w:pStyle w:val="Normal"/>
        <w:ind w:hanging="0" w:left="0" w:right="0"/>
        <w:jc w:val="left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>4.- Propuesta adjudicación</w:t>
      </w:r>
    </w:p>
    <w:p>
      <w:pPr>
        <w:pStyle w:val="Normal"/>
        <w:ind w:hanging="0" w:left="0" w:right="0"/>
        <w:jc w:val="both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</w:r>
    </w:p>
    <w:p>
      <w:pPr>
        <w:pStyle w:val="Normal"/>
        <w:ind w:hanging="0" w:left="0" w:right="0"/>
        <w:jc w:val="both"/>
        <w:rPr>
          <w:rFonts w:ascii="Amiri" w:hAnsi="Amiri"/>
          <w:b/>
          <w:sz w:val="20"/>
          <w:szCs w:val="20"/>
          <w:u w:val="single"/>
        </w:rPr>
      </w:pPr>
      <w:r>
        <w:rPr>
          <w:rFonts w:ascii="Amiri" w:hAnsi="Amiri"/>
          <w:b/>
          <w:sz w:val="20"/>
          <w:szCs w:val="20"/>
          <w:u w:val="single"/>
        </w:rPr>
        <w:t>Se Expone.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.- Apertura y calificación administrativa: 3-2024 Renting impresoras - El objeto del contrato será la realización del arrendamiento y mantenimiento integral de equipos multifuncionales (copia/impresión, escaneo), con el fin de renovar la totalidad del parque de este tipo de dispositivos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Han concurrido las siguientes empresas: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NIF: A28122125 CANON ESPAÑA S.A.U. Fecha de presentación: 19 de abril de 2024 a las 13:22:46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NIF: B38581393 TECNISUR COPIADORAS, S.L. Fecha de presentación: 19 de abril de 2024 a las 14:34:50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Tras la revisión de la documentación aportada por los licitadores la mesa concluye lo siguiente:</w:t>
      </w:r>
    </w:p>
    <w:p>
      <w:pPr>
        <w:pStyle w:val="Normal"/>
        <w:ind w:hanging="0" w:left="0" w:right="0"/>
        <w:jc w:val="left"/>
        <w:rPr>
          <w:rFonts w:ascii="Amiri" w:hAnsi="Amiri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Admitir a los siguientes licitadores: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NIF: A28122125 CANON ESPAÑA S.A.U.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NIF: B38581393 TECNISUR COPIADORAS, S.L.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</w:t>
      </w:r>
      <w:r>
        <w:rPr>
          <w:rFonts w:ascii="Amiri" w:hAnsi="Amiri"/>
          <w:color w:val="000000"/>
          <w:sz w:val="20"/>
          <w:szCs w:val="20"/>
        </w:rPr>
        <w:t>2.- Apertura criterios evaluables automáticamente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Se procede a la apertura de los sobres de aquellas empresas que hayan sido admitidas: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NIF: A28122125 CANON ESPAÑA S.A.U.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NIF: B38581393 TECNISUR COPIADORAS, S.L.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La documentación aportada por los licitadores es aportada a los técnicos para su correspondiente evaluación.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3.- Valoración criterios evaluables automáticamente: 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Según los criterios en el Pliego:</w:t>
      </w:r>
    </w:p>
    <w:p>
      <w:pPr>
        <w:pStyle w:val="Normal"/>
        <w:spacing w:lineRule="auto" w:line="240"/>
        <w:jc w:val="both"/>
        <w:rPr>
          <w:rFonts w:cs="Verdana"/>
          <w:i w:val="false"/>
          <w:i w:val="false"/>
          <w:iCs w:val="false"/>
        </w:rPr>
      </w:pPr>
      <w:r>
        <w:rPr>
          <w:rFonts w:ascii="Amiri" w:hAnsi="Amiri"/>
          <w:sz w:val="20"/>
          <w:szCs w:val="20"/>
          <w:shd w:fill="auto" w:val="clear"/>
        </w:rPr>
      </w:r>
    </w:p>
    <w:p>
      <w:pPr>
        <w:pStyle w:val="Normal"/>
        <w:spacing w:lineRule="auto" w:line="240"/>
        <w:jc w:val="both"/>
        <w:rPr>
          <w:rFonts w:ascii="Amiri" w:hAnsi="Amiri"/>
          <w:sz w:val="20"/>
          <w:szCs w:val="20"/>
          <w:shd w:fill="auto" w:val="clear"/>
        </w:rPr>
      </w:pPr>
      <w:r>
        <w:rPr>
          <w:rFonts w:cs="Verdana" w:ascii="Amiri" w:hAnsi="Amiri"/>
          <w:i w:val="false"/>
          <w:iCs w:val="false"/>
          <w:sz w:val="20"/>
          <w:szCs w:val="20"/>
          <w:shd w:fill="auto" w:val="clear"/>
        </w:rPr>
        <w:t xml:space="preserve">Criterios de adjudicación </w:t>
      </w:r>
      <w:r>
        <w:rPr>
          <w:rFonts w:cs="Verdana" w:ascii="Amiri" w:hAnsi="Amiri"/>
          <w:b/>
          <w:i w:val="false"/>
          <w:iCs w:val="false"/>
          <w:sz w:val="20"/>
          <w:szCs w:val="20"/>
          <w:shd w:fill="auto" w:val="clear"/>
        </w:rPr>
        <w:t xml:space="preserve">cuantitativos </w:t>
      </w:r>
      <w:r>
        <w:rPr>
          <w:rFonts w:cs="Verdana" w:ascii="Amiri" w:hAnsi="Amiri"/>
          <w:b/>
          <w:i w:val="false"/>
          <w:iCs w:val="false"/>
          <w:sz w:val="20"/>
          <w:szCs w:val="20"/>
          <w:shd w:fill="auto" w:val="clear"/>
        </w:rPr>
        <w:t>100 puntos</w:t>
      </w:r>
      <w:r>
        <w:rPr>
          <w:rFonts w:cs="Verdana" w:ascii="Amiri" w:hAnsi="Amiri"/>
          <w:i w:val="false"/>
          <w:iCs w:val="false"/>
          <w:sz w:val="20"/>
          <w:szCs w:val="20"/>
          <w:shd w:fill="auto" w:val="clear"/>
        </w:rPr>
        <w:t>:</w:t>
      </w:r>
    </w:p>
    <w:p>
      <w:pPr>
        <w:pStyle w:val="Normal"/>
        <w:spacing w:lineRule="auto" w:line="240"/>
        <w:jc w:val="both"/>
        <w:rPr>
          <w:rStyle w:val="Fuentedeprrafopredeter"/>
          <w:rFonts w:ascii="Amiri" w:hAnsi="Amiri"/>
          <w:sz w:val="20"/>
          <w:szCs w:val="20"/>
        </w:rPr>
      </w:pPr>
      <w:r>
        <w:rPr/>
      </w:r>
    </w:p>
    <w:tbl>
      <w:tblPr>
        <w:tblW w:w="825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062"/>
        <w:gridCol w:w="2622"/>
      </w:tblGrid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miri" w:hAnsi="Amiri" w:cs="Arial"/>
                <w:b/>
                <w:sz w:val="20"/>
                <w:szCs w:val="20"/>
              </w:rPr>
            </w:pPr>
            <w:r>
              <w:rPr>
                <w:rFonts w:cs="Arial" w:ascii="Amiri" w:hAnsi="Amiri"/>
                <w:b/>
                <w:sz w:val="20"/>
                <w:szCs w:val="20"/>
              </w:rPr>
              <w:t>Nº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miri" w:hAnsi="Amiri" w:cs="Arial"/>
                <w:b/>
                <w:sz w:val="20"/>
                <w:szCs w:val="20"/>
              </w:rPr>
            </w:pPr>
            <w:r>
              <w:rPr>
                <w:rFonts w:cs="Arial" w:ascii="Amiri" w:hAnsi="Amiri"/>
                <w:b/>
                <w:sz w:val="20"/>
                <w:szCs w:val="20"/>
              </w:rPr>
              <w:t>Criterios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b/>
                <w:sz w:val="20"/>
                <w:szCs w:val="20"/>
              </w:rPr>
            </w:pPr>
            <w:r>
              <w:rPr>
                <w:rFonts w:cs="Arial" w:ascii="Amiri" w:hAnsi="Amiri"/>
                <w:b/>
                <w:sz w:val="20"/>
                <w:szCs w:val="20"/>
              </w:rPr>
              <w:t>Puntuación total: 100</w:t>
            </w:r>
          </w:p>
        </w:tc>
      </w:tr>
      <w:tr>
        <w:trPr>
          <w:trHeight w:val="42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Precio del arrendamiento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37 puntos</w:t>
            </w:r>
          </w:p>
        </w:tc>
      </w:tr>
      <w:tr>
        <w:trPr>
          <w:trHeight w:val="41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Precio de la copia en blanco y negro.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13 puntos</w:t>
            </w:r>
          </w:p>
        </w:tc>
      </w:tr>
      <w:tr>
        <w:trPr>
          <w:trHeight w:val="50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3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Precio de la copia en color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22 puntos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4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Presentación de la ISO 27001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2 puntos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5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Escaneo a doble cara en una única pasada del papel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miri" w:hAnsi="Amiri"/>
                <w:sz w:val="20"/>
                <w:szCs w:val="20"/>
              </w:rPr>
            </w:pPr>
            <w:r>
              <w:rPr>
                <w:rFonts w:cs="Arial" w:ascii="Amiri" w:hAnsi="Amiri"/>
                <w:color w:val="000000"/>
                <w:sz w:val="20"/>
                <w:szCs w:val="20"/>
              </w:rPr>
              <w:t xml:space="preserve">6 </w:t>
            </w:r>
            <w:r>
              <w:rPr>
                <w:rFonts w:cs="Arial" w:ascii="Amiri" w:hAnsi="Amiri"/>
                <w:sz w:val="20"/>
                <w:szCs w:val="20"/>
              </w:rPr>
              <w:t>puntos</w:t>
            </w:r>
          </w:p>
        </w:tc>
      </w:tr>
      <w:tr>
        <w:trPr>
          <w:trHeight w:val="41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6</w:t>
            </w:r>
          </w:p>
        </w:tc>
        <w:tc>
          <w:tcPr>
            <w:tcW w:w="5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Presentación de la ISO 9001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2 puntos</w:t>
            </w:r>
          </w:p>
        </w:tc>
      </w:tr>
      <w:tr>
        <w:trPr>
          <w:trHeight w:val="50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7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Presentación de la ISO 14001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miri" w:hAnsi="Amiri" w:cs="Arial"/>
                <w:color w:val="000000"/>
                <w:sz w:val="20"/>
                <w:szCs w:val="20"/>
              </w:rPr>
            </w:pPr>
            <w:r>
              <w:rPr>
                <w:rFonts w:cs="Arial" w:ascii="Amiri" w:hAnsi="Amiri"/>
                <w:color w:val="000000"/>
                <w:sz w:val="20"/>
                <w:szCs w:val="20"/>
              </w:rPr>
              <w:t>2 puntos</w:t>
            </w:r>
          </w:p>
        </w:tc>
      </w:tr>
      <w:tr>
        <w:trPr>
          <w:trHeight w:val="48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8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Certificación en el ENS: categoría alta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miri" w:hAnsi="Amiri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 xml:space="preserve">10 </w:t>
            </w:r>
            <w:r>
              <w:rPr>
                <w:rFonts w:cs="Arial" w:ascii="Amiri" w:hAnsi="Amiri"/>
                <w:color w:val="000000"/>
                <w:sz w:val="20"/>
                <w:szCs w:val="20"/>
              </w:rPr>
              <w:t>puntos</w:t>
            </w:r>
          </w:p>
        </w:tc>
      </w:tr>
      <w:tr>
        <w:trPr>
          <w:trHeight w:val="48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9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rPr>
                <w:rFonts w:ascii="Amiri" w:hAnsi="Amiri"/>
                <w:sz w:val="20"/>
                <w:szCs w:val="20"/>
              </w:rPr>
            </w:pPr>
            <w:r>
              <w:rPr>
                <w:rFonts w:ascii="Amiri" w:hAnsi="Amiri"/>
                <w:sz w:val="20"/>
                <w:szCs w:val="20"/>
              </w:rPr>
              <w:t>Aportación</w:t>
            </w:r>
            <w:r>
              <w:rPr>
                <w:rFonts w:ascii="Amiri" w:hAnsi="Ami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miri" w:hAnsi="Amiri"/>
                <w:sz w:val="20"/>
                <w:szCs w:val="20"/>
              </w:rPr>
              <w:t>ISO</w:t>
            </w:r>
            <w:r>
              <w:rPr>
                <w:rFonts w:ascii="Amiri" w:hAnsi="Ami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miri" w:hAnsi="Amiri"/>
                <w:sz w:val="20"/>
                <w:szCs w:val="20"/>
              </w:rPr>
              <w:t>15408</w:t>
            </w:r>
            <w:r>
              <w:rPr>
                <w:rFonts w:ascii="Amiri" w:hAnsi="Ami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miri" w:hAnsi="Amiri"/>
                <w:sz w:val="20"/>
                <w:szCs w:val="20"/>
              </w:rPr>
              <w:t>para</w:t>
            </w:r>
            <w:r>
              <w:rPr>
                <w:rFonts w:ascii="Amiri" w:hAnsi="Ami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miri" w:hAnsi="Amiri"/>
                <w:sz w:val="20"/>
                <w:szCs w:val="20"/>
              </w:rPr>
              <w:t>el</w:t>
            </w:r>
            <w:r>
              <w:rPr>
                <w:rFonts w:ascii="Amiri" w:hAnsi="Ami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miri" w:hAnsi="Amiri"/>
                <w:sz w:val="20"/>
                <w:szCs w:val="20"/>
              </w:rPr>
              <w:t>sistema</w:t>
            </w:r>
            <w:r>
              <w:rPr>
                <w:rFonts w:ascii="Amiri" w:hAnsi="Ami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miri" w:hAnsi="Amiri"/>
                <w:sz w:val="20"/>
                <w:szCs w:val="20"/>
              </w:rPr>
              <w:t>de</w:t>
            </w:r>
            <w:r>
              <w:rPr>
                <w:rFonts w:ascii="Amiri" w:hAnsi="Ami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miri" w:hAnsi="Amiri"/>
                <w:sz w:val="20"/>
                <w:szCs w:val="20"/>
              </w:rPr>
              <w:t>gestión</w:t>
            </w:r>
            <w:r>
              <w:rPr>
                <w:rFonts w:ascii="Amiri" w:hAnsi="Amiri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Amiri" w:hAnsi="Amiri"/>
                <w:sz w:val="20"/>
                <w:szCs w:val="20"/>
              </w:rPr>
              <w:t>remota</w:t>
            </w:r>
            <w:r>
              <w:rPr>
                <w:rFonts w:ascii="Amiri" w:hAnsi="Ami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miri" w:hAnsi="Amiri"/>
                <w:sz w:val="20"/>
                <w:szCs w:val="20"/>
              </w:rPr>
              <w:t>(ISO Internacional</w:t>
            </w:r>
            <w:r>
              <w:rPr>
                <w:rFonts w:ascii="Amiri" w:hAnsi="Ami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miri" w:hAnsi="Amiri"/>
                <w:sz w:val="20"/>
                <w:szCs w:val="20"/>
              </w:rPr>
              <w:t>para</w:t>
            </w:r>
            <w:r>
              <w:rPr>
                <w:rFonts w:ascii="Amiri" w:hAnsi="Ami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miri" w:hAnsi="Amiri"/>
                <w:sz w:val="20"/>
                <w:szCs w:val="20"/>
              </w:rPr>
              <w:t>evaluar la</w:t>
            </w:r>
          </w:p>
          <w:p>
            <w:pPr>
              <w:pStyle w:val="Normal"/>
              <w:rPr>
                <w:rFonts w:ascii="Amiri" w:hAnsi="Amiri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seguridad</w:t>
            </w:r>
            <w:r>
              <w:rPr>
                <w:rFonts w:cs="Arial" w:ascii="Amiri" w:hAnsi="Ami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 w:ascii="Amiri" w:hAnsi="Amiri"/>
                <w:sz w:val="20"/>
                <w:szCs w:val="20"/>
              </w:rPr>
              <w:t>IT</w:t>
            </w:r>
            <w:r>
              <w:rPr>
                <w:rFonts w:cs="Arial" w:ascii="Amiri" w:hAnsi="Amiri"/>
                <w:spacing w:val="-9"/>
                <w:sz w:val="20"/>
                <w:szCs w:val="20"/>
              </w:rPr>
              <w:t xml:space="preserve"> </w:t>
            </w:r>
            <w:r>
              <w:rPr>
                <w:rFonts w:cs="Arial" w:ascii="Amiri" w:hAnsi="Amiri"/>
                <w:sz w:val="20"/>
                <w:szCs w:val="20"/>
              </w:rPr>
              <w:t>Comunicación</w:t>
            </w:r>
            <w:r>
              <w:rPr>
                <w:rFonts w:cs="Arial" w:ascii="Amiri" w:hAnsi="Ami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 w:ascii="Amiri" w:hAnsi="Amiri"/>
                <w:sz w:val="20"/>
                <w:szCs w:val="20"/>
              </w:rPr>
              <w:t>remota)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miri" w:hAnsi="Amiri" w:cs="Arial"/>
                <w:sz w:val="20"/>
                <w:szCs w:val="20"/>
              </w:rPr>
            </w:pPr>
            <w:r>
              <w:rPr>
                <w:rFonts w:cs="Arial" w:ascii="Amiri" w:hAnsi="Amiri"/>
                <w:sz w:val="20"/>
                <w:szCs w:val="20"/>
              </w:rPr>
              <w:t>6 puntos</w:t>
            </w:r>
          </w:p>
        </w:tc>
      </w:tr>
    </w:tbl>
    <w:p>
      <w:pPr>
        <w:pStyle w:val="Normal"/>
        <w:bidi w:val="0"/>
        <w:spacing w:lineRule="auto" w:line="240"/>
        <w:jc w:val="center"/>
        <w:rPr>
          <w:color w:val="000000"/>
        </w:rPr>
      </w:pPr>
      <w:r>
        <w:rPr>
          <w:rFonts w:ascii="Amiri" w:hAnsi="Amiri"/>
          <w:sz w:val="20"/>
          <w:szCs w:val="20"/>
        </w:rPr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miri" w:hAnsi="Amiri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Una vez remitida la información por el equipo técnico, éste ha valorado las proposiciones técnicas de acuerdo a los criterios del PCAP de la siguiente manera:</w:t>
      </w:r>
    </w:p>
    <w:p>
      <w:pPr>
        <w:pStyle w:val="Normal"/>
        <w:ind w:hanging="0" w:left="0" w:right="0"/>
        <w:jc w:val="left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object w:dxaOrig="9807" w:dyaOrig="9312">
          <v:shapetype id="_x0000_t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_x0000_tole_rId3" style="position:absolute;margin-left:31.5pt;margin-top:0pt;width:418.95pt;height:397.75pt;mso-position-horizontal-relative:text;mso-position-vertical-relative:text" filled="f" o:ole="">
            <v:imagedata r:id="rId4" o:title=""/>
            <w10:wrap type="topAndBottom"/>
          </v:shape>
          <o:OLEObject Type="Embed" ProgID="Excel.Sheet.12" ShapeID="ole_rId3" DrawAspect="Content" ObjectID="_1253713169" r:id="rId3"/>
        </w:objec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4.- Propuesta adjudicación: 3-2024 Renting impresoras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De acuerdo a la evaluación de las propuestas aportadas por los licitadores, la mesa concluye la siguiente lista ordenada de manera decreciente de puntuación de acuerdo a las puntuaciones obtenidas por los licitadores en las diferentes fases: 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Orden: 1NIF: A28122125 CANON ESPAÑA S.A.U. Propuesto para la adjudicación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Total puntuación: 93.73</w:t>
      </w:r>
    </w:p>
    <w:p>
      <w:pPr>
        <w:pStyle w:val="Normal"/>
        <w:ind w:hanging="0" w:left="0" w:right="0"/>
        <w:jc w:val="left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Orden: 2NIF: B38581393 TECNISUR COPIADORAS, S.L.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Total puntuación: 70.64</w:t>
      </w:r>
    </w:p>
    <w:p>
      <w:pPr>
        <w:pStyle w:val="Normal"/>
        <w:ind w:hanging="0" w:left="0" w:right="0"/>
        <w:jc w:val="left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 xml:space="preserve">  </w:t>
      </w:r>
      <w:r>
        <w:rPr>
          <w:rFonts w:ascii="Amiri" w:hAnsi="Amiri"/>
          <w:sz w:val="20"/>
          <w:szCs w:val="20"/>
        </w:rPr>
        <w:t xml:space="preserve">Visto las puntuaciones obtenidas, se propone al Órgano de Contratación a  </w:t>
      </w:r>
      <w:r>
        <w:rPr>
          <w:rFonts w:ascii="Amiri" w:hAnsi="Amiri"/>
          <w:color w:val="000000"/>
          <w:sz w:val="20"/>
          <w:szCs w:val="20"/>
        </w:rPr>
        <w:t>CANON ESPAÑA SAU</w:t>
      </w:r>
      <w:r>
        <w:rPr>
          <w:rFonts w:ascii="Amiri" w:hAnsi="Amiri"/>
          <w:sz w:val="20"/>
          <w:szCs w:val="20"/>
        </w:rPr>
        <w:t xml:space="preserve"> como adjudicador.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>Yo, como Secretario, certifico con el visto bueno del Presidente: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 xml:space="preserve">  </w:t>
      </w:r>
      <w:r>
        <w:rPr>
          <w:rFonts w:ascii="Amiri" w:hAnsi="Amiri"/>
          <w:sz w:val="20"/>
          <w:szCs w:val="20"/>
        </w:rPr>
        <w:t>Manuel Ortiz Correa</w:t>
        <w:tab/>
        <w:tab/>
        <w:tab/>
        <w:tab/>
        <w:tab/>
        <w:tab/>
      </w:r>
      <w:r>
        <w:rPr>
          <w:rFonts w:ascii="Amiri" w:hAnsi="Amiri"/>
          <w:sz w:val="20"/>
          <w:szCs w:val="20"/>
        </w:rPr>
        <w:t>Marcos Antonio Rodríguez Santana</w:t>
      </w:r>
      <w:r>
        <w:rPr>
          <w:rFonts w:ascii="Amiri" w:hAnsi="Amiri"/>
          <w:sz w:val="20"/>
          <w:szCs w:val="20"/>
        </w:rPr>
        <w:t>.</w:t>
        <w:tab/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>SECRETARIO</w:t>
        <w:tab/>
      </w:r>
      <w:r>
        <w:rPr>
          <w:rFonts w:ascii="Amiri" w:hAnsi="Amiri"/>
          <w:sz w:val="20"/>
          <w:szCs w:val="20"/>
        </w:rPr>
        <w:t>Y VOCAL</w:t>
      </w:r>
      <w:r>
        <w:rPr>
          <w:rFonts w:ascii="Amiri" w:hAnsi="Amiri"/>
          <w:sz w:val="20"/>
          <w:szCs w:val="20"/>
        </w:rPr>
        <w:tab/>
        <w:tab/>
        <w:tab/>
        <w:tab/>
        <w:tab/>
        <w:t>PRESIDENTE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</w:r>
    </w:p>
    <w:p>
      <w:pPr>
        <w:pStyle w:val="Normal"/>
        <w:ind w:hanging="0" w:left="0" w:right="0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 xml:space="preserve">D. </w:t>
      </w:r>
      <w:r>
        <w:rPr>
          <w:rFonts w:ascii="Amiri" w:hAnsi="Amiri"/>
          <w:sz w:val="20"/>
          <w:szCs w:val="20"/>
        </w:rPr>
        <w:t>Carlos Díaz Hernández</w:t>
      </w:r>
      <w:r>
        <w:rPr>
          <w:rFonts w:ascii="Amiri" w:hAnsi="Amiri"/>
          <w:sz w:val="20"/>
          <w:szCs w:val="20"/>
        </w:rPr>
        <w:tab/>
        <w:tab/>
        <w:tab/>
        <w:tab/>
        <w:tab/>
        <w:t xml:space="preserve">D. </w:t>
      </w:r>
      <w:r>
        <w:rPr>
          <w:rFonts w:ascii="Amiri" w:hAnsi="Amiri"/>
          <w:sz w:val="20"/>
          <w:szCs w:val="20"/>
        </w:rPr>
        <w:t>Jose Manuel Luis Pérez</w:t>
      </w:r>
      <w:r>
        <w:rPr>
          <w:rFonts w:ascii="Amiri" w:hAnsi="Amiri"/>
          <w:sz w:val="20"/>
          <w:szCs w:val="20"/>
        </w:rPr>
        <w:tab/>
        <w:tab/>
        <w:t xml:space="preserve">  VOCA</w:t>
      </w:r>
      <w:r>
        <w:rPr>
          <w:rFonts w:ascii="Amiri" w:hAnsi="Amiri"/>
          <w:sz w:val="20"/>
          <w:szCs w:val="20"/>
        </w:rPr>
        <w:t>L</w:t>
        <w:tab/>
        <w:tab/>
        <w:tab/>
        <w:tab/>
        <w:tab/>
        <w:tab/>
        <w:tab/>
        <w:tab/>
      </w:r>
      <w:r>
        <w:rPr>
          <w:rFonts w:ascii="Amiri" w:hAnsi="Amiri"/>
          <w:sz w:val="20"/>
          <w:szCs w:val="20"/>
        </w:rPr>
        <w:t>VOCAL</w:t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1134" w:top="1969" w:footer="1134" w:bottom="197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miri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enter" w:pos="0" w:leader="none"/>
        <w:tab w:val="right" w:pos="9638" w:leader="none"/>
      </w:tabs>
      <w:jc w:val="both"/>
      <w:rPr>
        <w:sz w:val="16"/>
        <w:szCs w:val="16"/>
        <w:lang w:val="es-ES" w:eastAsia="es-ES"/>
      </w:rPr>
    </w:pP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>E</w:t>
    </w: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 xml:space="preserve">xpediente de contratación  </w:t>
    </w:r>
    <w:r>
      <w:rPr>
        <w:rFonts w:eastAsia="NSimSun" w:cs="Arial" w:ascii="Times New Roman" w:hAnsi="Times New Roman"/>
        <w:i w:val="false"/>
        <w:iCs w:val="false"/>
        <w:color w:val="000000"/>
        <w:kern w:val="2"/>
        <w:sz w:val="20"/>
        <w:szCs w:val="16"/>
        <w:lang w:val="es-ES" w:eastAsia="zh-CN" w:bidi="hi-IN"/>
      </w:rPr>
      <w:t>3-2024 Renting impresoras</w:t>
    </w:r>
  </w:p>
  <w:p>
    <w:pPr>
      <w:pStyle w:val="Footer"/>
      <w:rPr>
        <w:sz w:val="14"/>
        <w:szCs w:val="14"/>
        <w:lang w:val="es-ES" w:eastAsia="es-ES"/>
      </w:rPr>
    </w:pPr>
    <w:r>
      <w:rPr>
        <w:sz w:val="14"/>
        <w:szCs w:val="14"/>
        <w:lang w:val="es-ES" w:eastAsia="es-ES"/>
      </w:rPr>
    </w:r>
  </w:p>
  <w:p>
    <w:pPr>
      <w:pStyle w:val="Footer"/>
      <w:rPr>
        <w:sz w:val="14"/>
        <w:szCs w:val="14"/>
        <w:lang w:val="es-ES" w:eastAsia="es-ES"/>
      </w:rPr>
    </w:pPr>
    <w:r>
      <w:rPr>
        <w:sz w:val="14"/>
        <w:szCs w:val="14"/>
        <w:lang w:val="es-ES"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6180455</wp:posOffset>
          </wp:positionH>
          <wp:positionV relativeFrom="paragraph">
            <wp:posOffset>8246745</wp:posOffset>
          </wp:positionV>
          <wp:extent cx="477520" cy="930275"/>
          <wp:effectExtent l="0" t="0" r="0" b="0"/>
          <wp:wrapSquare wrapText="largest"/>
          <wp:docPr id="3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Heading2">
    <w:name w:val="heading 2"/>
    <w:basedOn w:val="Ttulo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Caracteresdenotafinal">
    <w:name w:val="Caracteres de nota final"/>
    <w:qFormat/>
    <w:rPr/>
  </w:style>
  <w:style w:type="character" w:styleId="EndnoteReference">
    <w:name w:val="endnote reference"/>
    <w:rPr>
      <w:vertAlign w:val="superscript"/>
    </w:rPr>
  </w:style>
  <w:style w:type="character" w:styleId="Smbolosdenumeracin">
    <w:name w:val="Símbolos de numeración"/>
    <w:qFormat/>
    <w:rPr/>
  </w:style>
  <w:style w:type="character" w:styleId="Fuentedeprrafopredeter">
    <w:name w:val="Fuente de párrafo predeter."/>
    <w:qFormat/>
    <w:rPr/>
  </w:style>
  <w:style w:type="character" w:styleId="Ninguno">
    <w:name w:val="Ninguno"/>
    <w:qFormat/>
    <w:rPr/>
  </w:style>
  <w:style w:type="character" w:styleId="Textoennegrita">
    <w:name w:val="Texto en negrita"/>
    <w:basedOn w:val="Fuentedeprrafopredeter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EndnoteText">
    <w:name w:val="end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Footer">
    <w:name w:val="foot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es-ES" w:eastAsia="zh-CN" w:bidi="ar-SA"/>
    </w:rPr>
  </w:style>
  <w:style w:type="paragraph" w:styleId="TableParagraph">
    <w:name w:val="Table Paragraph"/>
    <w:basedOn w:val="Normal"/>
    <w:qFormat/>
    <w:pPr>
      <w:widowControl w:val="false"/>
      <w:suppressAutoHyphens w:val="false"/>
      <w:autoSpaceDE w:val="false"/>
    </w:pPr>
    <w:rPr>
      <w:rFonts w:ascii="Arial" w:hAnsi="Arial" w:eastAsia="Arial" w:cs="Arial"/>
      <w:kern w:val="0"/>
      <w:sz w:val="22"/>
      <w:szCs w:val="22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package" Target="embeddings/oleObject1.xlsx"/><Relationship Id="rId4" Type="http://schemas.openxmlformats.org/officeDocument/2006/relationships/image" Target="media/image2.em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278</TotalTime>
  <Application>LibreOffice/25.2.4.3$Windows_x86 LibreOffice_project/33e196637044ead23f5c3226cde09b47731f7e27</Application>
  <AppVersion>15.0000</AppVersion>
  <Pages>4</Pages>
  <Words>524</Words>
  <Characters>3006</Characters>
  <CharactersWithSpaces>3509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2021-03-12T12:53:09Z</dcterms:created>
  <dc:creator/>
  <dc:description/>
  <dc:language>es-ES</dc:language>
  <cp:lastModifiedBy/>
  <cp:lastPrinted>2022-04-19T09:50:56Z</cp:lastPrinted>
  <dcterms:modified xsi:type="dcterms:W3CDTF">2024-06-13T11:54:38Z</dcterms:modified>
  <cp:revision>10</cp:revision>
  <dc:subject/>
  <dc:title/>
</cp:coreProperties>
</file>