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header1.xml" ContentType="application/vnd.openxmlformats-officedocument.wordprocessingml.header+xml"/>
  <Override PartName="/word/media/image1.emf" ContentType="image/x-emf"/>
  <Override PartName="/word/media/image2.emf" ContentType="image/x-emf"/>
  <Override PartName="/word/media/image3.png" ContentType="image/pn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-4169410</wp:posOffset>
                </wp:positionH>
                <wp:positionV relativeFrom="paragraph">
                  <wp:posOffset>3653790</wp:posOffset>
                </wp:positionV>
                <wp:extent cx="7520940" cy="531495"/>
                <wp:effectExtent l="16510" t="1270" r="16510" b="127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15000">
                          <a:off x="0" y="0"/>
                          <a:ext cx="7521120" cy="53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fals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Arial" w:hAnsi="Arial" w:cs="Arial"/>
                                <w:lang w:val="es-ES_tradnl"/>
                              </w:rPr>
                              <w:t>Servicios Municipales de Granadilla de Abona, S.L. B38711248, Lugar Plaza Gonzalez, Mena s/n, 38600, Granadilla de Abona. Tf: 922 758 116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a1" stroked="f" o:allowincell="f" style="position:absolute;margin-left:-328.3pt;margin-top:287.7pt;width:592.15pt;height:41.8pt;mso-wrap-style:square;v-text-anchor:middle;rotation:270" type="_x0000_t202">
                <v:textbox>
                  <w:txbxContent>
                    <w:p>
                      <w:pPr>
                        <w:kinsoku w:val="true"/>
                        <w:overflowPunct w:val="false"/>
                        <w:autoSpaceDE w:val="true"/>
                        <w:bidi w:val="0"/>
                        <w:spacing w:before="0" w:after="0" w:lineRule="auto" w:line="240"/>
                        <w:ind w:left="0" w:right="0" w:hanging="0"/>
                        <w:jc w:val="center"/>
                        <w:rPr/>
                      </w:pPr>
                      <w:r>
                        <w:rPr>
                          <w:sz w:val="14"/>
                          <w:szCs w:val="14"/>
                          <w:rFonts w:ascii="Arial" w:hAnsi="Arial" w:cs="Arial"/>
                          <w:lang w:val="es-ES_tradnl"/>
                        </w:rPr>
                        <w:t>Servicios Municipales de Granadilla de Abona, S.L. B38711248, Lugar Plaza Gonzalez, Mena s/n, 38600, Granadilla de Abona. Tf: 922 758 116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</w:r>
    </w:p>
    <w:p>
      <w:pPr>
        <w:pStyle w:val="Normal"/>
        <w:ind w:hanging="0" w:left="0" w:right="0"/>
        <w:jc w:val="center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ACTA DE LA MESA DE CONTRATACIÓN</w:t>
      </w:r>
    </w:p>
    <w:p>
      <w:pPr>
        <w:pStyle w:val="Normal"/>
        <w:ind w:hanging="0" w:left="0" w:right="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>
          <w:rStyle w:val="Textoennegrita"/>
          <w:rFonts w:ascii="Arial" w:hAnsi="Arial" w:eastAsia="Times New Roman" w:cs="Times New Roman"/>
          <w:b/>
          <w:bCs/>
          <w:i/>
          <w:i/>
          <w:iCs/>
          <w:color w:val="auto"/>
          <w:spacing w:val="-3"/>
          <w:kern w:val="2"/>
          <w:sz w:val="21"/>
          <w:szCs w:val="21"/>
          <w:shd w:fill="auto" w:val="clear"/>
          <w:lang w:val="es-ES" w:eastAsia="zh-CN" w:bidi="ar-SA"/>
        </w:rPr>
      </w:pPr>
      <w:r>
        <w:rPr/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>
          <w:rStyle w:val="Textoennegrita"/>
          <w:rFonts w:ascii="Arial" w:hAnsi="Arial" w:eastAsia="Times New Roman" w:cs="Times New Roman"/>
          <w:b/>
          <w:bCs/>
          <w:i/>
          <w:i/>
          <w:iCs/>
          <w:color w:val="auto"/>
          <w:spacing w:val="-3"/>
          <w:kern w:val="2"/>
          <w:sz w:val="21"/>
          <w:szCs w:val="21"/>
          <w:shd w:fill="auto" w:val="clear"/>
          <w:lang w:val="es-ES" w:eastAsia="zh-CN" w:bidi="ar-SA"/>
        </w:rPr>
      </w:pPr>
      <w:r>
        <w:rPr/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Textoennegrita"/>
          <w:rFonts w:eastAsia="Times New Roman" w:cs="Times New Roman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SERVICIOS DENOMINADO </w:t>
      </w:r>
      <w:r>
        <w:rPr>
          <w:rStyle w:val="Ninguno"/>
          <w:rFonts w:eastAsia="Times New Roman" w:cs="Times New Roman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“</w:t>
      </w:r>
      <w:r>
        <w:rPr>
          <w:rStyle w:val="Ninguno"/>
          <w:rFonts w:eastAsia="Times New Roman" w:cs="Times New Roman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Servicio de asesoramiento laboral a la sociedad pública Sermugran</w:t>
      </w:r>
      <w:r>
        <w:rPr>
          <w:rStyle w:val="Ninguno"/>
          <w:rFonts w:eastAsia="Times New Roman" w:cs="Times New Roman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”</w:t>
      </w:r>
      <w:r>
        <w:rPr>
          <w:rStyle w:val="Textoennegrita"/>
          <w:rFonts w:eastAsia="Times New Roman" w:cs="Times New Roman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, MEDIANTE PROCEDIMIENTO ABIERTO, TRAMITACIÓN ORDINARIA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jc w:val="both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</w:r>
    </w:p>
    <w:p>
      <w:pPr>
        <w:pStyle w:val="Normal"/>
        <w:ind w:hanging="0" w:left="0" w:right="0"/>
        <w:jc w:val="both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  <w:t>Fecha y hora de celebración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11 de marzo de 2025 a las 10:25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jc w:val="both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</w:r>
    </w:p>
    <w:p>
      <w:pPr>
        <w:pStyle w:val="Normal"/>
        <w:ind w:hanging="0" w:left="0" w:right="0"/>
        <w:jc w:val="both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  <w:t>Lugar de celebración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de comisiones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jc w:val="both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</w:r>
    </w:p>
    <w:p>
      <w:pPr>
        <w:pStyle w:val="Normal"/>
        <w:ind w:hanging="0" w:left="0" w:right="0"/>
        <w:jc w:val="both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  <w:t>Asistentes</w:t>
      </w:r>
    </w:p>
    <w:p>
      <w:pPr>
        <w:pStyle w:val="Normal"/>
        <w:ind w:hanging="0" w:left="0" w:right="0"/>
        <w:jc w:val="both"/>
        <w:rPr>
          <w:b/>
          <w:u w:val="single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PRESIDENTE </w:t>
      </w:r>
      <w:r>
        <w:rPr>
          <w:rFonts w:ascii="Arial" w:hAnsi="Arial"/>
          <w:sz w:val="21"/>
          <w:szCs w:val="21"/>
        </w:rPr>
        <w:t>SUPLENTE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D. </w:t>
      </w:r>
      <w:r>
        <w:rPr>
          <w:rFonts w:ascii="Arial" w:hAnsi="Arial"/>
          <w:sz w:val="21"/>
          <w:szCs w:val="21"/>
        </w:rPr>
        <w:t>David Santos Delgado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SECRETARIO</w:t>
      </w:r>
    </w:p>
    <w:p>
      <w:pPr>
        <w:pStyle w:val="Normal"/>
        <w:ind w:hanging="0" w:left="0" w:right="0"/>
        <w:rPr>
          <w:rFonts w:ascii="Arial" w:hAnsi="Arial"/>
          <w:b w:val="false"/>
          <w:bCs w:val="false"/>
          <w:sz w:val="21"/>
          <w:szCs w:val="21"/>
          <w:u w:val="none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D. Manuel Ortiz Correa, 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vocal y secretario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VOCALES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Dña. Andamana  Gaspar  Sosa, </w:t>
      </w:r>
      <w:r>
        <w:rPr>
          <w:rFonts w:ascii="Arial" w:hAnsi="Arial"/>
          <w:sz w:val="21"/>
          <w:szCs w:val="21"/>
        </w:rPr>
        <w:t>vocal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D. José Manuel  Luis Pérez, vocal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jc w:val="center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  <w:t>Orden del día</w:t>
      </w:r>
    </w:p>
    <w:p>
      <w:pPr>
        <w:pStyle w:val="Normal"/>
        <w:ind w:hanging="0" w:left="0" w:right="0"/>
        <w:jc w:val="center"/>
        <w:rPr>
          <w:b/>
          <w:u w:val="single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both"/>
        <w:rPr>
          <w:b/>
          <w:u w:val="single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1.- Apertura y calificación administrativa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2.- Apertura criterios basados en juicios de valor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3.- Valoración criterios basados en juicios de valor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4.- Apertura criterios evaluables automáticamente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5.- Valoración criterios  evaluables automáticamente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6.- Propuesta adjudicación</w:t>
      </w:r>
    </w:p>
    <w:p>
      <w:pPr>
        <w:pStyle w:val="Normal"/>
        <w:ind w:hanging="0" w:left="0" w:right="0"/>
        <w:jc w:val="both"/>
        <w:rPr>
          <w:b/>
          <w:u w:val="single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center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</w:r>
    </w:p>
    <w:p>
      <w:pPr>
        <w:pStyle w:val="Normal"/>
        <w:ind w:hanging="0" w:left="0" w:right="0"/>
        <w:jc w:val="center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</w:r>
    </w:p>
    <w:p>
      <w:pPr>
        <w:pStyle w:val="Normal"/>
        <w:ind w:hanging="0" w:left="0" w:right="0"/>
        <w:jc w:val="center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</w:r>
    </w:p>
    <w:p>
      <w:pPr>
        <w:pStyle w:val="Normal"/>
        <w:ind w:hanging="0" w:left="0" w:right="0"/>
        <w:jc w:val="center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  <w:t>Se Expone</w:t>
      </w:r>
    </w:p>
    <w:p>
      <w:pPr>
        <w:pStyle w:val="Normal"/>
        <w:ind w:hanging="0" w:left="0" w:right="0"/>
        <w:jc w:val="center"/>
        <w:rPr>
          <w:b/>
          <w:u w:val="single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center"/>
        <w:rPr>
          <w:b/>
          <w:u w:val="single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1.- Apertura y calificación administrativa: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Han concurrido las siguientes empresas: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NIF: B76791615 GEXTIONA APV CONSULTORES S.L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NIF: B76592443 SERVICIOS JURÍDICOS Y ADMINISTRACION GRUPO ROPASA S.L.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NIF: B87171286 UNIVE ABOGADOS SECTOR PUBLICO S.L.P.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Tras la revisión de la documentación aportada por los licitadores la mesa concluye </w:t>
      </w:r>
      <w:r>
        <w:rPr>
          <w:rFonts w:ascii="Arial" w:hAnsi="Arial"/>
          <w:sz w:val="21"/>
          <w:szCs w:val="21"/>
        </w:rPr>
        <w:t>admitir a los licitadores que han presentado oferta.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color w:val="000000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</w:t>
      </w:r>
    </w:p>
    <w:p>
      <w:pPr>
        <w:pStyle w:val="Normal"/>
        <w:ind w:hanging="0" w:left="0" w:right="0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2.- Apertura criterios basados en juicios de valor: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Se procede a la apertura de los sobres, </w:t>
      </w:r>
      <w:r>
        <w:rPr>
          <w:rFonts w:ascii="Arial" w:hAnsi="Arial"/>
          <w:sz w:val="21"/>
          <w:szCs w:val="21"/>
        </w:rPr>
        <w:t>l</w:t>
      </w:r>
      <w:r>
        <w:rPr>
          <w:rFonts w:ascii="Arial" w:hAnsi="Arial"/>
          <w:sz w:val="21"/>
          <w:szCs w:val="21"/>
        </w:rPr>
        <w:t xml:space="preserve">a documentación aportada por los licitadores </w:t>
      </w:r>
      <w:r>
        <w:rPr>
          <w:rFonts w:ascii="Arial" w:hAnsi="Arial"/>
          <w:sz w:val="21"/>
          <w:szCs w:val="21"/>
        </w:rPr>
        <w:t xml:space="preserve">se pone a disposición para que se elabore el informe técnico, dicho informe procede a valorar las oferta técnicas de cada empresa otorgándole una valoración individual </w:t>
      </w:r>
      <w:r>
        <w:rPr>
          <w:rFonts w:ascii="Arial" w:hAnsi="Arial"/>
          <w:sz w:val="21"/>
          <w:szCs w:val="21"/>
        </w:rPr>
        <w:t xml:space="preserve"> que se transcribe a continuación: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Ninguno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2</w:t>
      </w:r>
      <w:r>
        <w:rPr>
          <w:rStyle w:val="Ninguno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.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single"/>
          <w:shd w:fill="auto" w:val="clear"/>
          <w:lang w:val="es-ES" w:eastAsia="zh-CN" w:bidi="ar-SA"/>
        </w:rPr>
        <w:t>CRITERIOS DE ADJUDICACIÓN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 </w:t>
      </w:r>
    </w:p>
    <w:p>
      <w:pPr>
        <w:pStyle w:val="Normal"/>
        <w:tabs>
          <w:tab w:val="clear" w:pos="709"/>
          <w:tab w:val="left" w:pos="-1440" w:leader="none"/>
          <w:tab w:val="left" w:pos="-720" w:leader="none"/>
        </w:tabs>
        <w:spacing w:before="0" w:after="60"/>
        <w:jc w:val="both"/>
        <w:rPr/>
      </w:pPr>
      <w:r>
        <w:rPr>
          <w:rStyle w:val="Fuentedeprrafopredeter"/>
          <w:rFonts w:ascii="Arial" w:hAnsi="Arial"/>
          <w:b w:val="false"/>
          <w:bCs w:val="false"/>
          <w:i/>
          <w:iCs/>
          <w:color w:val="auto"/>
          <w:sz w:val="21"/>
          <w:szCs w:val="21"/>
          <w:lang w:val="es-ES"/>
        </w:rPr>
        <w:tab/>
        <w:t xml:space="preserve"> El contrato se adjudicará a la proposición que oferte la mejor relación calidad-precio en la ejecución del contrato, evaluada mediante la aplicación de los siguientes criterios de adjudicación:</w:t>
      </w:r>
    </w:p>
    <w:p>
      <w:pPr>
        <w:pStyle w:val="Normal"/>
        <w:tabs>
          <w:tab w:val="clear" w:pos="709"/>
          <w:tab w:val="left" w:pos="-1440" w:leader="none"/>
          <w:tab w:val="left" w:pos="-720" w:leader="none"/>
        </w:tabs>
        <w:spacing w:before="0" w:after="60"/>
        <w:jc w:val="both"/>
        <w:rPr>
          <w:rStyle w:val="Fuentedeprrafopredeter"/>
          <w:rFonts w:ascii="Arial" w:hAnsi="Arial"/>
          <w:b w:val="false"/>
          <w:bCs w:val="false"/>
          <w:i/>
          <w:i/>
          <w:iCs/>
          <w:color w:val="auto"/>
          <w:sz w:val="21"/>
          <w:szCs w:val="21"/>
          <w:lang w:val="es-ES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  <w:tab w:val="left" w:pos="-720" w:leader="none"/>
        </w:tabs>
        <w:spacing w:before="0" w:after="60"/>
        <w:jc w:val="both"/>
        <w:rPr/>
      </w:pPr>
      <w:r>
        <w:rPr>
          <w:rStyle w:val="Fuentedeprrafopredeter"/>
          <w:rFonts w:ascii="Arial" w:hAnsi="Arial"/>
          <w:b w:val="false"/>
          <w:bCs w:val="false"/>
          <w:i/>
          <w:iCs/>
          <w:color w:val="auto"/>
          <w:sz w:val="21"/>
          <w:szCs w:val="21"/>
          <w:lang w:val="es-ES"/>
        </w:rPr>
        <w:tab/>
        <w:t xml:space="preserve"> </w:t>
      </w:r>
      <w:r>
        <w:rPr>
          <w:rStyle w:val="Fuentedeprrafopredeter"/>
          <w:rFonts w:ascii="Arial" w:hAnsi="Arial"/>
          <w:b w:val="false"/>
          <w:bCs w:val="false"/>
          <w:i/>
          <w:iCs/>
          <w:color w:val="auto"/>
          <w:sz w:val="21"/>
          <w:szCs w:val="21"/>
          <w:u w:val="single"/>
          <w:lang w:val="es-ES"/>
        </w:rPr>
        <w:t xml:space="preserve">Criterios cualitativos </w:t>
      </w:r>
      <w:r>
        <w:rPr>
          <w:rStyle w:val="Fuentedeprrafopredeter"/>
          <w:rFonts w:ascii="Arial" w:hAnsi="Arial"/>
          <w:b w:val="false"/>
          <w:bCs w:val="false"/>
          <w:i/>
          <w:iCs/>
          <w:color w:val="auto"/>
          <w:sz w:val="21"/>
          <w:szCs w:val="21"/>
          <w:u w:val="single"/>
          <w:lang w:val="es-ES"/>
        </w:rPr>
        <w:t>(no evaluables mediante fórmulas o porcentajes)</w:t>
      </w:r>
      <w:r>
        <w:rPr>
          <w:rStyle w:val="Fuentedeprrafopredeter"/>
          <w:rFonts w:ascii="Arial" w:hAnsi="Arial"/>
          <w:b w:val="false"/>
          <w:bCs w:val="false"/>
          <w:i/>
          <w:iCs/>
          <w:color w:val="auto"/>
          <w:sz w:val="21"/>
          <w:szCs w:val="21"/>
          <w:lang w:val="es-ES"/>
        </w:rPr>
        <w:t>:</w:t>
      </w:r>
    </w:p>
    <w:p>
      <w:pPr>
        <w:pStyle w:val="Normal"/>
        <w:tabs>
          <w:tab w:val="clear" w:pos="709"/>
          <w:tab w:val="left" w:pos="-1440" w:leader="none"/>
          <w:tab w:val="left" w:pos="-720" w:leader="none"/>
        </w:tabs>
        <w:spacing w:before="0" w:after="60"/>
        <w:jc w:val="both"/>
        <w:rPr/>
      </w:pPr>
      <w:r>
        <w:rPr>
          <w:rStyle w:val="Fuentedeprrafopredeter"/>
          <w:rFonts w:ascii="Arial" w:hAnsi="Arial"/>
          <w:b w:val="false"/>
          <w:bCs w:val="false"/>
          <w:i/>
          <w:iCs/>
          <w:color w:val="auto"/>
          <w:sz w:val="21"/>
          <w:szCs w:val="21"/>
          <w:lang w:val="es-ES"/>
        </w:rPr>
        <w:t xml:space="preserve"> </w:t>
      </w:r>
    </w:p>
    <w:tbl>
      <w:tblPr>
        <w:tblW w:w="8524" w:type="dxa"/>
        <w:jc w:val="left"/>
        <w:tblInd w:w="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34"/>
        <w:gridCol w:w="4290"/>
      </w:tblGrid>
      <w:tr>
        <w:trPr/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tulodelatabla"/>
              <w:jc w:val="both"/>
              <w:rPr>
                <w:rFonts w:ascii="Arial" w:hAnsi="Arial"/>
                <w:b w:val="false"/>
                <w:bCs w:val="false"/>
                <w:i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1"/>
                <w:szCs w:val="21"/>
                <w:lang w:val="es-ES"/>
              </w:rPr>
              <w:t>CRITERIOS</w:t>
            </w: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tulodelatabla"/>
              <w:jc w:val="both"/>
              <w:rPr>
                <w:rFonts w:ascii="Arial" w:hAnsi="Arial"/>
                <w:b w:val="false"/>
                <w:bCs w:val="false"/>
                <w:i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1"/>
                <w:szCs w:val="21"/>
                <w:lang w:val="es-ES"/>
              </w:rPr>
              <w:t>PUNTUACIÓN</w:t>
            </w:r>
          </w:p>
        </w:tc>
      </w:tr>
      <w:tr>
        <w:trPr/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" w:hAnsi="Arial" w:eastAsia="Times New Roman" w:cs="Times New Roman"/>
                <w:b/>
                <w:bCs/>
                <w:color w:val="auto"/>
                <w:kern w:val="2"/>
                <w:sz w:val="24"/>
                <w:szCs w:val="24"/>
                <w:lang w:val="es-ES" w:eastAsia="zh-CN" w:bidi="ar-SA"/>
              </w:rPr>
            </w:pPr>
            <w:r>
              <w:rPr>
                <w:rStyle w:val="Ninguno"/>
                <w:rFonts w:eastAsia="Arial Unicode MS" w:cs="Arial Unicode MS" w:ascii="Arial" w:hAnsi="Arial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kern w:val="2"/>
                <w:position w:val="0"/>
                <w:sz w:val="21"/>
                <w:sz w:val="21"/>
                <w:szCs w:val="21"/>
                <w:u w:val="none"/>
                <w:vertAlign w:val="baseline"/>
                <w:em w:val="none"/>
                <w:lang w:val="es-ES" w:eastAsia="zh-CN" w:bidi="hi-IN"/>
              </w:rPr>
              <w:t>Planificación de los trabajos a realizar.</w:t>
            </w:r>
          </w:p>
          <w:p>
            <w:pPr>
              <w:pStyle w:val="Normal"/>
              <w:widowControl/>
              <w:jc w:val="both"/>
              <w:rPr>
                <w:rStyle w:val="Ninguno"/>
                <w:rFonts w:ascii="Arial" w:hAnsi="Arial" w:eastAsia="Arial Unicode MS" w:cs="Arial Unicode MS"/>
                <w:b w:val="false"/>
                <w:bCs w:val="false"/>
                <w:i/>
                <w:i/>
                <w:iCs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-3"/>
                <w:position w:val="0"/>
                <w:sz w:val="21"/>
                <w:sz w:val="21"/>
                <w:szCs w:val="21"/>
                <w:u w:val="none"/>
                <w:vertAlign w:val="baseline"/>
                <w:em w:val="none"/>
                <w:lang w:val="es-ES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auto"/>
                <w:kern w:val="2"/>
                <w:sz w:val="24"/>
                <w:szCs w:val="24"/>
                <w:lang w:val="es-ES" w:eastAsia="zh-CN" w:bidi="ar-SA"/>
              </w:rPr>
            </w:r>
          </w:p>
        </w:tc>
        <w:tc>
          <w:tcPr>
            <w:tcW w:w="4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/>
                <w:i/>
                <w:iCs/>
                <w:sz w:val="21"/>
                <w:szCs w:val="21"/>
                <w:lang w:val="es-ES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/>
                <w:iCs/>
                <w:color w:val="auto"/>
                <w:kern w:val="2"/>
                <w:sz w:val="21"/>
                <w:szCs w:val="21"/>
                <w:lang w:val="es-ES" w:eastAsia="zh-CN" w:bidi="ar-SA"/>
              </w:rPr>
              <w:t>40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1"/>
                <w:szCs w:val="21"/>
                <w:lang w:val="es-ES"/>
              </w:rPr>
              <w:t xml:space="preserve"> PUNTOS</w:t>
            </w:r>
          </w:p>
        </w:tc>
      </w:tr>
    </w:tbl>
    <w:p>
      <w:pPr>
        <w:pStyle w:val="Normal"/>
        <w:tabs>
          <w:tab w:val="clear" w:pos="709"/>
          <w:tab w:val="left" w:pos="-1440" w:leader="none"/>
          <w:tab w:val="left" w:pos="-720" w:leader="none"/>
        </w:tabs>
        <w:spacing w:before="0" w:after="60"/>
        <w:jc w:val="both"/>
        <w:rPr>
          <w:rStyle w:val="Fuentedeprrafopredeter"/>
          <w:rFonts w:ascii="Arial" w:hAnsi="Arial"/>
          <w:b w:val="false"/>
          <w:bCs w:val="false"/>
          <w:i/>
          <w:i/>
          <w:iCs/>
          <w:color w:val="FF3300"/>
          <w:sz w:val="21"/>
          <w:szCs w:val="21"/>
          <w:lang w:val="es-ES"/>
        </w:rPr>
      </w:pPr>
      <w:r>
        <w:rPr/>
      </w:r>
    </w:p>
    <w:p>
      <w:pPr>
        <w:pStyle w:val="Normal"/>
        <w:widowControl/>
        <w:spacing w:lineRule="auto" w:line="240"/>
        <w:jc w:val="both"/>
        <w:rPr>
          <w:rFonts w:ascii="Arial" w:hAnsi="Arial" w:eastAsia="Times New Roman" w:cs="Times New Roman"/>
          <w:b/>
          <w:bCs/>
          <w:color w:val="auto"/>
          <w:kern w:val="2"/>
          <w:sz w:val="24"/>
          <w:szCs w:val="24"/>
          <w:lang w:val="es-ES" w:eastAsia="zh-CN" w:bidi="ar-SA"/>
        </w:rPr>
      </w:pP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vertAlign w:val="baseline"/>
          <w:em w:val="none"/>
          <w:lang w:val="es-ES" w:eastAsia="zh-CN" w:bidi="hi-IN"/>
        </w:rPr>
        <w:t xml:space="preserve">Planificación de los trabajos a realizar  en materia de asesoramiento, incluyendo propuesta de metodología de 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vertAlign w:val="baseline"/>
          <w:em w:val="none"/>
          <w:lang w:val="es-ES" w:eastAsia="zh-CN" w:bidi="hi-IN"/>
        </w:rPr>
        <w:t xml:space="preserve">análisis de los  costes laborales 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vertAlign w:val="baseline"/>
          <w:em w:val="none"/>
          <w:lang w:val="es-ES" w:eastAsia="zh-CN" w:bidi="hi-IN"/>
        </w:rPr>
        <w:t>de la empresa, optimización de recursos humanos, aprovechamiento de bonificaciones,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vertAlign w:val="baseline"/>
          <w:em w:val="none"/>
          <w:lang w:val="es-ES" w:eastAsia="zh-CN" w:bidi="hi-IN"/>
        </w:rPr>
        <w:t xml:space="preserve"> adhesión a programas  subvencionables 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vertAlign w:val="baseline"/>
          <w:em w:val="none"/>
          <w:lang w:val="es-ES" w:eastAsia="zh-CN" w:bidi="hi-IN"/>
        </w:rPr>
        <w:t>por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vertAlign w:val="baseline"/>
          <w:em w:val="none"/>
          <w:lang w:val="es-ES" w:eastAsia="zh-CN" w:bidi="hi-IN"/>
        </w:rPr>
        <w:t xml:space="preserve"> las instituciones competentes en materia laboral. 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vertAlign w:val="baseline"/>
          <w:em w:val="none"/>
          <w:lang w:val="es-ES" w:eastAsia="zh-CN" w:bidi="hi-IN"/>
        </w:rPr>
        <w:t>La prestación presencial.</w:t>
      </w:r>
    </w:p>
    <w:p>
      <w:pPr>
        <w:pStyle w:val="Normal"/>
        <w:widowControl/>
        <w:spacing w:lineRule="auto" w:line="240"/>
        <w:jc w:val="both"/>
        <w:rPr>
          <w:rFonts w:ascii="Arial" w:hAnsi="Arial" w:eastAsia="Times New Roman" w:cs="Times New Roman"/>
          <w:b/>
          <w:bCs/>
          <w:color w:val="auto"/>
          <w:kern w:val="2"/>
          <w:sz w:val="24"/>
          <w:szCs w:val="24"/>
          <w:lang w:val="es-ES" w:eastAsia="zh-CN" w:bidi="ar-SA"/>
        </w:rPr>
      </w:pP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vertAlign w:val="baseline"/>
          <w:em w:val="none"/>
          <w:lang w:val="es-ES" w:eastAsia="zh-CN" w:bidi="hi-IN"/>
        </w:rPr>
        <w:t xml:space="preserve">Se valora la experiencia del 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vertAlign w:val="baseline"/>
          <w:em w:val="none"/>
          <w:lang w:val="es-ES" w:eastAsia="zh-CN" w:bidi="hi-IN"/>
        </w:rPr>
        <w:t>equipo de personas adscritas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vertAlign w:val="baseline"/>
          <w:em w:val="none"/>
          <w:lang w:val="es-ES" w:eastAsia="zh-CN" w:bidi="hi-IN"/>
        </w:rPr>
        <w:t xml:space="preserve"> en trabajos de similar o igual naturaleza a entidades integrantes del sector público, 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vertAlign w:val="baseline"/>
          <w:em w:val="none"/>
          <w:lang w:val="es-ES" w:eastAsia="zh-CN" w:bidi="hi-IN"/>
        </w:rPr>
        <w:t>que se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vertAlign w:val="baseline"/>
          <w:em w:val="none"/>
          <w:lang w:val="es-ES" w:eastAsia="zh-CN" w:bidi="hi-IN"/>
        </w:rPr>
        <w:t xml:space="preserve"> acreditará mediante la entrega de un certificado de la entidad del sector público, en la que se indique los datos personales 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vertAlign w:val="baseline"/>
          <w:em w:val="none"/>
          <w:lang w:val="es-ES" w:eastAsia="zh-CN" w:bidi="hi-IN"/>
        </w:rPr>
        <w:t>de que se va a acre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vertAlign w:val="baseline"/>
          <w:em w:val="none"/>
          <w:lang w:val="es-ES" w:eastAsia="zh-CN" w:bidi="hi-IN"/>
        </w:rPr>
        <w:t>d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vertAlign w:val="baseline"/>
          <w:em w:val="none"/>
          <w:lang w:val="es-ES" w:eastAsia="zh-CN" w:bidi="hi-IN"/>
        </w:rPr>
        <w:t>itar y estarán adscritos.</w:t>
      </w:r>
    </w:p>
    <w:p>
      <w:pPr>
        <w:pStyle w:val="Normal"/>
        <w:widowControl/>
        <w:spacing w:lineRule="auto" w:line="240"/>
        <w:jc w:val="both"/>
        <w:rPr>
          <w:rFonts w:ascii="Arial" w:hAnsi="Arial" w:eastAsia="Times New Roman" w:cs="Times New Roman"/>
          <w:b/>
          <w:bCs/>
          <w:color w:val="auto"/>
          <w:kern w:val="2"/>
          <w:sz w:val="24"/>
          <w:szCs w:val="24"/>
          <w:lang w:val="es-ES" w:eastAsia="zh-CN" w:bidi="ar-SA"/>
        </w:rPr>
      </w:pP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hi-IN"/>
        </w:rPr>
        <w:t xml:space="preserve">La planificación tendrá que estar adaptada a las especialidades derivadas de la pertenencia de Sermugran al sector público, como 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hi-IN"/>
        </w:rPr>
        <w:t>Medio Propio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/>
          <w:i/>
          <w:iCs/>
          <w:color w:val="auto"/>
          <w:spacing w:val="-3"/>
          <w:kern w:val="2"/>
          <w:sz w:val="21"/>
          <w:szCs w:val="21"/>
          <w:shd w:fill="auto" w:val="clear"/>
          <w:lang w:val="es-ES" w:eastAsia="zh-CN" w:bidi="ar-SA"/>
        </w:rPr>
      </w:pPr>
      <w:r>
        <w:rPr/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Visto el objeto de prestación del servicio y los criterios sujetos a valoración, se procede a establecer los criterios para evaluar las ofertas de los licitadores.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/>
          <w:i/>
          <w:iCs/>
          <w:color w:val="auto"/>
          <w:spacing w:val="-3"/>
          <w:kern w:val="2"/>
          <w:sz w:val="21"/>
          <w:szCs w:val="21"/>
          <w:shd w:fill="auto" w:val="clear"/>
          <w:lang w:val="es-ES" w:eastAsia="zh-CN" w:bidi="ar-SA"/>
        </w:rPr>
      </w:pPr>
      <w:r>
        <w:rPr/>
      </w:r>
    </w:p>
    <w:p>
      <w:pPr>
        <w:pStyle w:val="Normal"/>
        <w:jc w:val="both"/>
        <w:rPr>
          <w:rFonts w:ascii="Arial" w:hAnsi="Arial"/>
          <w:i/>
          <w:i/>
          <w:iCs/>
          <w:sz w:val="21"/>
          <w:szCs w:val="21"/>
          <w:lang w:val="es-ES"/>
        </w:rPr>
      </w:pPr>
      <w:r>
        <w:rPr>
          <w:rFonts w:ascii="Arial" w:hAnsi="Arial"/>
          <w:i/>
          <w:iCs/>
          <w:sz w:val="21"/>
          <w:szCs w:val="21"/>
          <w:lang w:val="es-ES"/>
        </w:rPr>
        <w:object w:dxaOrig="6502" w:dyaOrig="1537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78.4pt;margin-top:-11.5pt;width:325.1pt;height:76.85pt;mso-position-horizontal-relative:text;mso-position-vertical-relative:text" filled="f" o:ole="">
            <v:imagedata r:id="rId3" o:title=""/>
            <w10:wrap type="square" side="largest"/>
          </v:shape>
          <o:OLEObject Type="Embed" ProgID="Excel.Sheet.12" ShapeID="ole_rId2" DrawAspect="Content" ObjectID="_1888675137" r:id="rId2"/>
        </w:object>
      </w:r>
    </w:p>
    <w:p>
      <w:pPr>
        <w:pStyle w:val="Normal"/>
        <w:jc w:val="both"/>
        <w:rPr>
          <w:rFonts w:ascii="Arial" w:hAnsi="Arial"/>
          <w:sz w:val="21"/>
          <w:szCs w:val="21"/>
          <w:lang w:val="es-ES"/>
        </w:rPr>
      </w:pPr>
      <w:r>
        <w:rPr>
          <w:rFonts w:ascii="Arial" w:hAnsi="Arial"/>
          <w:sz w:val="21"/>
          <w:szCs w:val="21"/>
          <w:lang w:val="es-ES"/>
        </w:rPr>
      </w:r>
    </w:p>
    <w:p>
      <w:pPr>
        <w:pStyle w:val="Normal"/>
        <w:jc w:val="both"/>
        <w:rPr>
          <w:rFonts w:ascii="Arial" w:hAnsi="Arial"/>
          <w:sz w:val="21"/>
          <w:szCs w:val="21"/>
          <w:lang w:val="es-ES"/>
        </w:rPr>
      </w:pPr>
      <w:r>
        <w:rPr>
          <w:rFonts w:ascii="Arial" w:hAnsi="Arial"/>
          <w:sz w:val="21"/>
          <w:szCs w:val="21"/>
          <w:lang w:val="es-ES"/>
        </w:rPr>
      </w:r>
    </w:p>
    <w:p>
      <w:pPr>
        <w:pStyle w:val="Normal"/>
        <w:jc w:val="both"/>
        <w:rPr>
          <w:rFonts w:ascii="Arial" w:hAnsi="Arial"/>
          <w:sz w:val="21"/>
          <w:szCs w:val="21"/>
          <w:lang w:val="es-ES"/>
        </w:rPr>
      </w:pPr>
      <w:r>
        <w:rPr>
          <w:rFonts w:ascii="Arial" w:hAnsi="Arial"/>
          <w:sz w:val="21"/>
          <w:szCs w:val="21"/>
          <w:lang w:val="es-ES"/>
        </w:rPr>
      </w:r>
    </w:p>
    <w:p>
      <w:pPr>
        <w:pStyle w:val="Normal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/>
          <w:i/>
          <w:iCs/>
          <w:color w:val="auto"/>
          <w:spacing w:val="-3"/>
          <w:kern w:val="2"/>
          <w:sz w:val="21"/>
          <w:szCs w:val="21"/>
          <w:shd w:fill="auto" w:val="clear"/>
          <w:lang w:val="es-ES" w:eastAsia="zh-CN" w:bidi="ar-SA"/>
        </w:rPr>
      </w:pPr>
      <w:r>
        <w:rPr/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LA METODOLOGÍA Y ANÁLISIS TENDRÁ QUE TENER EL ENFOQUE DEL SECTOR PÚBLICO EMPRESARIAL.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Se procede a la evaluación de 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los tres licitadores admitidos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u w:val="single"/>
          <w:shd w:fill="auto" w:val="clear"/>
          <w:lang w:val="es-ES" w:eastAsia="zh-CN" w:bidi="ar-SA"/>
        </w:rPr>
        <w:t>GEXTIONA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La oferta en primer lugar, plantea los objetivos del contrato desarrollando cada ítem del contrato, confección de nóminas, liquidaciones, comunicaciones con la Seg. Social, modelos tributarios y otros, así como actuaciones en la jurisdicción social.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Establece un plazo de respuesta de 72 horas máximo ante cualquier consulta  y dos veces al mes 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como asistencia presencial. En el mismo apartado resalta los contratos que tiene con la entidad, cuestión no cierta.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Por último describe la metodología de una manera escueta, detallando únicamente en nóminas, altas y bajas y Seg. Social detallando calendario de cada proceso. Destacar que los ficheros definitivos se generan dos días antes final de mes, y algo que resulta insuficiente 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es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 la resolución de incidencia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s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 de nóminas en un plazo no superior a 20 días.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>
          <w:rFonts w:ascii="Arial" w:hAnsi="Arial"/>
          <w:i/>
          <w:i/>
          <w:iCs/>
          <w:sz w:val="21"/>
          <w:szCs w:val="21"/>
          <w:lang w:val="es-ES"/>
        </w:rPr>
      </w:pPr>
      <w:r>
        <w:rPr>
          <w:rFonts w:ascii="Arial" w:hAnsi="Arial"/>
          <w:i/>
          <w:iCs/>
          <w:sz w:val="21"/>
          <w:szCs w:val="21"/>
          <w:lang w:val="es-ES"/>
        </w:rPr>
        <w:t>La oferta pone a disposición de un aplicativo, Kairos, interesante para la Sociedad, aún así, dentro de los criterios no se encontraban posibles mejoras a valorar, por ello no se puede valorar.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>
          <w:rFonts w:ascii="Arial" w:hAnsi="Arial"/>
          <w:i/>
          <w:i/>
          <w:iCs/>
          <w:sz w:val="21"/>
          <w:szCs w:val="21"/>
          <w:lang w:val="es-ES"/>
        </w:rPr>
      </w:pPr>
      <w:r>
        <w:rPr>
          <w:rFonts w:ascii="Arial" w:hAnsi="Arial"/>
          <w:i/>
          <w:iCs/>
          <w:sz w:val="21"/>
          <w:szCs w:val="21"/>
          <w:lang w:val="es-ES"/>
        </w:rPr>
        <w:t>No comenta sobre subvenciones.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La experiencia del personal no s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hi-IN"/>
        </w:rPr>
        <w:t>e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hi-IN"/>
        </w:rPr>
        <w:t xml:space="preserve"> acredita mediante la entrega de un certificado de la entidad del sector público. 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hi-IN"/>
        </w:rPr>
        <w:t>No se puntúa.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Analizada la metodología, planificación y experiencia del equipo.</w:t>
      </w:r>
      <w:r>
        <w:rPr>
          <w:rFonts w:ascii="Arial" w:hAnsi="Arial"/>
          <w:i/>
          <w:iCs/>
          <w:sz w:val="21"/>
          <w:szCs w:val="21"/>
          <w:lang w:val="es-ES"/>
        </w:rPr>
        <w:t xml:space="preserve">Por lo anterior el licitador </w:t>
      </w:r>
      <w:r>
        <w:rPr>
          <w:rStyle w:val="Fuentedeprrafopredeter"/>
          <w:rFonts w:eastAsia="Arial Unicode MS" w:cs="Calibri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u w:val="single"/>
          <w:shd w:fill="auto" w:val="clear"/>
          <w:lang w:val="es-ES" w:eastAsia="zh-CN" w:bidi="ar-SA"/>
        </w:rPr>
        <w:t>GEXTIONA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  obtiene     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2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7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 puntos.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/>
          <w:i/>
          <w:iCs/>
          <w:color w:val="auto"/>
          <w:spacing w:val="-3"/>
          <w:kern w:val="2"/>
          <w:sz w:val="21"/>
          <w:szCs w:val="21"/>
          <w:shd w:fill="auto" w:val="clear"/>
          <w:lang w:val="es-ES" w:eastAsia="zh-CN" w:bidi="ar-SA"/>
        </w:rPr>
      </w:pPr>
      <w:r>
        <w:rPr/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u w:val="single"/>
          <w:shd w:fill="auto" w:val="clear"/>
          <w:lang w:val="es-ES" w:eastAsia="zh-CN" w:bidi="ar-SA"/>
        </w:rPr>
        <w:t>UNIVE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La oferta del licitador la divide en tres partes fundamentales, planificación, metodología y otros.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En la planificación detalla con exactitud los trabajos a realizar incluyendo calendarios, así como la frecuencia de los distintos servicios a prestar. Destacando confección de nóminas, modelos tributarios, comunicaciones con la Seg. Social y otros. Desarrolla todos los puntos de los servicios a prestar según PPT.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A continuación desarrolla la metodología de los puntos desarrollados en la planificación, donde describen el régimen de consultas, realización de informes, programas informáticos, reuniones y actuaciones ante distintas administraciones.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Por último desarrolla, esquemas de reuniones, una propuesta de optimización de recursos humanos tras análisis y planes de ordenación y movilidad de los mismo. Subvenciones  y gestor documental para el seguimiento de documentos y medios de comunicación.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La experiencia del personal  s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hi-IN"/>
        </w:rPr>
        <w:t>e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hi-IN"/>
        </w:rPr>
        <w:t xml:space="preserve"> acredita mediante la entrega de un certificado de la entidad del sector público 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hi-IN"/>
        </w:rPr>
        <w:t xml:space="preserve">que tres 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hi-IN"/>
        </w:rPr>
        <w:t>de los seis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hi-IN"/>
        </w:rPr>
        <w:t xml:space="preserve"> trabajadores tienen experiencia en el sector público.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 xml:space="preserve">Analizada la metodología, planificación y experiencia del equipo. 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 xml:space="preserve">Por lo anterior el licitador </w:t>
      </w:r>
      <w:r>
        <w:rPr>
          <w:rStyle w:val="Fuentedeprrafopredeter"/>
          <w:rFonts w:eastAsia="Arial Unicode MS" w:cs="Calibri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u w:val="single"/>
          <w:shd w:fill="auto" w:val="clear"/>
          <w:lang w:val="es-ES" w:eastAsia="zh-CN" w:bidi="ar-SA"/>
        </w:rPr>
        <w:t>UNIVE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 xml:space="preserve"> obtiene 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40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 xml:space="preserve"> puntos.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/>
          <w:i/>
          <w:iCs/>
          <w:color w:val="auto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</w:pPr>
      <w:r>
        <w:rPr/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u w:val="single"/>
          <w:shd w:fill="auto" w:val="clear"/>
          <w:lang w:val="es-ES" w:eastAsia="zh-CN" w:bidi="ar-SA"/>
        </w:rPr>
        <w:t>GRUPO ROPASA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La oferta del licitador se divide en 6 fases, en cada una de ellas describe metodología, análisis y propuesta.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En la primera fase se centra en el análisis de la empresa y de la estructura de costes y posibles desviaciones para luego establecer un Plan de Acción donde se desarrollará en el resto de fases, describe subvenciones y bonificaciones de las diferentes administraciones estando al tanto de los boletines oficiales.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Desarrolla la metodología  de análisis, tales como auditorías, resultados de las mismas y en base a lo anterior en su última fase se vuelve a desarrollar un nuevo Plan de Acción, estableciendo objetivos, clendario y control de riesgos internos.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Por último establece la periodicidad de reuniones.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Presenta una oferta de calidad en lo relativo a la metodología.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La experiencia del personal no s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hi-IN"/>
        </w:rPr>
        <w:t>e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hi-IN"/>
        </w:rPr>
        <w:t xml:space="preserve"> acredita mediante la entrega de un certificado de la entidad del sector público. 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hi-IN"/>
        </w:rPr>
        <w:t>No se punt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hi-IN"/>
        </w:rPr>
        <w:t>úa</w:t>
      </w:r>
      <w:r>
        <w:rPr>
          <w:rStyle w:val="Ninguno"/>
          <w:rFonts w:eastAsia="Arial Unicode MS" w:cs="Arial Unicode MS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hi-IN"/>
        </w:rPr>
        <w:t>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No desarrolla la planificación de los trabajos a realizar en la empresa de forma pormenorizada relativo a calendario de fechas de incidencia, elaboración de nóminas.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No desarrolla el carácter de ente público de la Sociedad y habla de realización de procesos de selección ágiles, lo que denota cierto desconocimiento de la misma.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La oferta presentada tiene superan las 200 páginas siendo unicamente evaluables 15. El resto de la oferta carece de valor y manejarla podrían vulnerar la La Ley de Protección de Datos.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 xml:space="preserve">Analizada la metodología, planificación y experiencia del equipo. 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 xml:space="preserve">Por lo anterior el licitador 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GRUPO ROPASA</w:t>
      </w:r>
      <w:r>
        <w:rPr>
          <w:rStyle w:val="Fuentedeprrafopredeter"/>
          <w:rFonts w:eastAsia="Arial Unicode MS" w:cs="Calibri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u w:val="single"/>
          <w:shd w:fill="auto" w:val="clear"/>
          <w:lang w:val="es-ES" w:eastAsia="zh-CN" w:bidi="ar-SA"/>
        </w:rPr>
        <w:t xml:space="preserve"> 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 xml:space="preserve">obtiene  </w:t>
      </w:r>
      <w:r>
        <w:rPr>
          <w:rStyle w:val="Fuentedeprrafopredeter"/>
          <w:rFonts w:eastAsia="Arial Unicode MS" w:cs="Calibri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u w:val="single"/>
          <w:shd w:fill="auto" w:val="clear"/>
          <w:lang w:val="es-ES" w:eastAsia="zh-CN" w:bidi="ar-SA"/>
        </w:rPr>
        <w:t>2</w:t>
      </w:r>
      <w:r>
        <w:rPr>
          <w:rStyle w:val="Fuentedeprrafopredeter"/>
          <w:rFonts w:eastAsia="Arial Unicode MS" w:cs="Calibri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u w:val="single"/>
          <w:shd w:fill="auto" w:val="clear"/>
          <w:lang w:val="es-ES" w:eastAsia="zh-CN" w:bidi="ar-SA"/>
        </w:rPr>
        <w:t>2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 xml:space="preserve">  puntos.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/>
          <w:i/>
          <w:iCs/>
          <w:color w:val="auto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</w:pPr>
      <w:r>
        <w:rPr/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>
          <w:rStyle w:val="Fuentedeprrafopredeter"/>
          <w:rFonts w:ascii="Arial" w:hAnsi="Arial" w:eastAsia="Arial Unicode MS" w:cs="Calibri"/>
          <w:b/>
          <w:bCs/>
          <w:i/>
          <w:i/>
          <w:iCs/>
          <w:color w:val="auto"/>
          <w:spacing w:val="-3"/>
          <w:kern w:val="2"/>
          <w:sz w:val="21"/>
          <w:szCs w:val="21"/>
          <w:u w:val="single"/>
          <w:shd w:fill="auto" w:val="clear"/>
          <w:lang w:val="es-ES" w:eastAsia="zh-CN" w:bidi="ar-SA"/>
        </w:rPr>
      </w:pPr>
      <w:r>
        <w:rPr/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/>
          <w:bCs/>
          <w:i/>
          <w:iCs/>
          <w:color w:val="000000"/>
          <w:spacing w:val="-3"/>
          <w:kern w:val="2"/>
          <w:sz w:val="21"/>
          <w:szCs w:val="21"/>
          <w:u w:val="single"/>
          <w:shd w:fill="auto" w:val="clear"/>
          <w:lang w:val="es-ES" w:eastAsia="zh-CN" w:bidi="ar-SA"/>
        </w:rPr>
        <w:t>CONCLUSIÓN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 xml:space="preserve">Una vez analizadas las 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tres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 xml:space="preserve"> ofertas de los licitadores, para que las puntuaciones sean competitivas se vuelve a realizar otra lectura de las ofertas ajustando las valoraciones teniendo presente la mejor oferta, estableciendo comparaciones en los 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distintos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 xml:space="preserve"> ítems de los que se ha procedido a evaluar.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spacing w:before="0" w:after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 xml:space="preserve">Unive recibe la máxima puntuación en experiencia de equipo debido a que los otros dos licitadores no aportan certificaciones, no se produce un reparto proporcional, </w:t>
      </w:r>
      <w:r>
        <w:rPr>
          <w:rStyle w:val="Fuentedeprrafopredeter"/>
          <w:rFonts w:eastAsia="Arial Unicode MS" w:cs="Calibri" w:ascii="Arial" w:hAnsi="Arial"/>
          <w:b w:val="false"/>
          <w:bCs w:val="false"/>
          <w:i/>
          <w:iCs/>
          <w:color w:val="000000"/>
          <w:spacing w:val="-3"/>
          <w:kern w:val="2"/>
          <w:sz w:val="21"/>
          <w:szCs w:val="21"/>
          <w:u w:val="none"/>
          <w:shd w:fill="auto" w:val="clear"/>
          <w:lang w:val="es-ES" w:eastAsia="zh-CN" w:bidi="ar-SA"/>
        </w:rPr>
        <w:t>así mismo, presenta una oferta estructurada detallando planificación y metodología de cada uno de los procesos en lo que se basa la prestación del servicio según establece el PPT.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3.- Valoración criterios basados en juicios de valor: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Visto el informe y las valoraciones, se procede a incorporar las valoraciones </w:t>
      </w:r>
      <w:r>
        <w:rPr>
          <w:rFonts w:ascii="Arial" w:hAnsi="Arial"/>
          <w:sz w:val="21"/>
          <w:szCs w:val="21"/>
        </w:rPr>
        <w:t xml:space="preserve">de acuerdo a los criterios del PCAP  </w:t>
      </w:r>
      <w:r>
        <w:rPr>
          <w:rFonts w:ascii="Arial" w:hAnsi="Arial"/>
          <w:sz w:val="21"/>
          <w:szCs w:val="21"/>
        </w:rPr>
        <w:t xml:space="preserve">quedando las puntuaciones </w:t>
      </w:r>
      <w:r>
        <w:rPr>
          <w:rFonts w:ascii="Arial" w:hAnsi="Arial"/>
          <w:sz w:val="21"/>
          <w:szCs w:val="21"/>
        </w:rPr>
        <w:t>de la siguiente manera: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GEXTIONA APV CONSULTORES S.L  </w:t>
      </w:r>
      <w:r>
        <w:rPr>
          <w:rFonts w:ascii="Arial" w:hAnsi="Arial"/>
          <w:color w:val="000000"/>
          <w:sz w:val="21"/>
          <w:szCs w:val="21"/>
        </w:rPr>
        <w:t>27 puntos</w:t>
      </w:r>
    </w:p>
    <w:p>
      <w:pPr>
        <w:pStyle w:val="Normal"/>
        <w:ind w:hanging="0" w:left="0" w:right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SERVICIOS JURÍDICOS Y ADMINISTRACION GRUPO ROPASA S.L.  </w:t>
      </w:r>
      <w:r>
        <w:rPr>
          <w:rFonts w:ascii="Arial" w:hAnsi="Arial"/>
          <w:color w:val="000000"/>
          <w:sz w:val="21"/>
          <w:szCs w:val="21"/>
        </w:rPr>
        <w:t>22 puntos</w:t>
      </w:r>
    </w:p>
    <w:p>
      <w:pPr>
        <w:pStyle w:val="Normal"/>
        <w:ind w:hanging="0" w:left="0" w:right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UNIVE ABOGADOS SECTOR PUBLICO S.L.P. </w:t>
      </w:r>
      <w:r>
        <w:rPr>
          <w:rFonts w:ascii="Arial" w:hAnsi="Arial"/>
          <w:color w:val="000000"/>
          <w:sz w:val="21"/>
          <w:szCs w:val="21"/>
        </w:rPr>
        <w:t>40 puntos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4. Apertura </w:t>
      </w:r>
      <w:r>
        <w:rPr>
          <w:rFonts w:ascii="Arial" w:hAnsi="Arial"/>
          <w:b/>
          <w:bCs/>
          <w:sz w:val="21"/>
          <w:szCs w:val="21"/>
        </w:rPr>
        <w:t xml:space="preserve">del sobre de </w:t>
      </w:r>
      <w:r>
        <w:rPr>
          <w:rFonts w:ascii="Arial" w:hAnsi="Arial"/>
          <w:b/>
          <w:bCs/>
          <w:sz w:val="21"/>
          <w:szCs w:val="21"/>
        </w:rPr>
        <w:t>criterios evaluables automáticamente: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Se procede a la apertura de los sobres </w:t>
      </w:r>
      <w:r>
        <w:rPr>
          <w:rFonts w:ascii="Arial" w:hAnsi="Arial"/>
          <w:sz w:val="21"/>
          <w:szCs w:val="21"/>
        </w:rPr>
        <w:t>con las ofertas económicas, siendo el precio  único criterio</w:t>
      </w:r>
      <w:r>
        <w:rPr>
          <w:rFonts w:ascii="Arial" w:hAnsi="Arial"/>
          <w:sz w:val="21"/>
          <w:szCs w:val="21"/>
        </w:rPr>
        <w:t>: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left"/>
        <w:rPr>
          <w:color w:val="000000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La documentación aportada por los licitadores es aportada a los técnicos para su correspondiente evaluación.</w:t>
      </w:r>
    </w:p>
    <w:p>
      <w:pPr>
        <w:pStyle w:val="Normal"/>
        <w:ind w:hanging="0" w:left="0" w:right="0"/>
        <w:rPr/>
      </w:pPr>
      <w:r>
        <w:rPr>
          <w:rFonts w:ascii="Arial" w:hAnsi="Arial"/>
          <w:sz w:val="21"/>
          <w:szCs w:val="21"/>
        </w:rPr>
        <w:t xml:space="preserve"> </w:t>
      </w:r>
      <w:r>
        <w:rPr>
          <w:rStyle w:val="Ninguno"/>
          <w:rFonts w:eastAsia="Times New Roman" w:cs="Times New Roman" w:ascii="Arial" w:hAnsi="Arial"/>
          <w:b w:val="false"/>
          <w:bCs w:val="false"/>
          <w:i w:val="false"/>
          <w:iCs w:val="false"/>
          <w:spacing w:val="-3"/>
          <w:sz w:val="21"/>
          <w:szCs w:val="21"/>
          <w:lang w:bidi="ar-SA"/>
        </w:rPr>
        <w:t>A solicitud de la mesa de contratación se procede a la evaluación de las ofertas de los licitadores:</w:t>
      </w:r>
    </w:p>
    <w:p>
      <w:pPr>
        <w:pStyle w:val="BodyTextIndent"/>
        <w:tabs>
          <w:tab w:val="clear" w:pos="709"/>
          <w:tab w:val="left" w:pos="-1440" w:leader="none"/>
          <w:tab w:val="left" w:pos="-720" w:leader="none"/>
        </w:tabs>
        <w:suppressAutoHyphens w:val="true"/>
        <w:bidi w:val="0"/>
        <w:spacing w:before="0" w:after="240"/>
        <w:ind w:hanging="0" w:left="708" w:right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tabs>
          <w:tab w:val="clear" w:pos="709"/>
          <w:tab w:val="left" w:pos="-1440" w:leader="none"/>
          <w:tab w:val="left" w:pos="-720" w:leader="none"/>
        </w:tabs>
        <w:spacing w:before="0" w:after="60"/>
        <w:jc w:val="both"/>
        <w:rPr/>
      </w:pPr>
      <w:r>
        <w:rPr>
          <w:rStyle w:val="Ninguno"/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3</w:t>
      </w:r>
      <w:r>
        <w:rPr>
          <w:rStyle w:val="Ninguno"/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.- Criterios económicos (evaluable mediante fórmulas o porcentajes): </w:t>
      </w:r>
    </w:p>
    <w:p>
      <w:pPr>
        <w:pStyle w:val="Normal"/>
        <w:tabs>
          <w:tab w:val="clear" w:pos="709"/>
          <w:tab w:val="left" w:pos="-1440" w:leader="none"/>
          <w:tab w:val="left" w:pos="-720" w:leader="none"/>
        </w:tabs>
        <w:spacing w:before="0" w:after="60"/>
        <w:jc w:val="both"/>
        <w:rPr>
          <w:rStyle w:val="Fuentedeprrafopredeter"/>
          <w:rFonts w:ascii="Arial" w:hAnsi="Arial"/>
          <w:b/>
          <w:bCs/>
          <w:color w:val="auto"/>
          <w:sz w:val="21"/>
          <w:szCs w:val="21"/>
        </w:rPr>
      </w:pPr>
      <w:r>
        <w:rPr/>
      </w:r>
    </w:p>
    <w:tbl>
      <w:tblPr>
        <w:tblW w:w="8539" w:type="dxa"/>
        <w:jc w:val="left"/>
        <w:tblInd w:w="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54"/>
        <w:gridCol w:w="4285"/>
      </w:tblGrid>
      <w:tr>
        <w:trPr/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tulodelatab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CRITERIOS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tulodelatab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PUNTUACIÓN</w:t>
            </w:r>
          </w:p>
        </w:tc>
      </w:tr>
      <w:tr>
        <w:trPr/>
        <w:tc>
          <w:tcPr>
            <w:tcW w:w="4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 w:eastAsia="Times New Roman" w:cs="Times New Roman"/>
                <w:b/>
                <w:bCs/>
                <w:color w:val="auto"/>
                <w:kern w:val="2"/>
                <w:sz w:val="21"/>
                <w:szCs w:val="21"/>
                <w:lang w:val="es-ES" w:eastAsia="zh-CN"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auto"/>
                <w:kern w:val="2"/>
                <w:sz w:val="21"/>
                <w:szCs w:val="21"/>
                <w:lang w:val="es-ES" w:eastAsia="zh-CN" w:bidi="ar-SA"/>
              </w:rPr>
              <w:t>PRECIO OFERTADO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6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0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PUNTOS</w:t>
            </w:r>
          </w:p>
        </w:tc>
      </w:tr>
    </w:tbl>
    <w:p>
      <w:pPr>
        <w:pStyle w:val="Normal"/>
        <w:tabs>
          <w:tab w:val="clear" w:pos="709"/>
          <w:tab w:val="left" w:pos="-1440" w:leader="none"/>
          <w:tab w:val="left" w:pos="-720" w:leader="none"/>
        </w:tabs>
        <w:spacing w:before="0" w:after="60"/>
        <w:jc w:val="both"/>
        <w:rPr>
          <w:rStyle w:val="Fuentedeprrafopredeter"/>
          <w:rFonts w:ascii="Arial" w:hAnsi="Arial"/>
          <w:b/>
          <w:bCs/>
          <w:i/>
          <w:i/>
          <w:color w:val="FF3300"/>
          <w:spacing w:val="-3"/>
          <w:sz w:val="21"/>
          <w:szCs w:val="21"/>
          <w:shd w:fill="C0C0C0" w:val="clear"/>
          <w:lang w:val="es-ES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  <w:tab w:val="left" w:pos="-720" w:leader="none"/>
        </w:tabs>
        <w:spacing w:before="0" w:after="60"/>
        <w:jc w:val="both"/>
        <w:rPr/>
      </w:pPr>
      <w:r>
        <w:rPr>
          <w:rStyle w:val="Fuentedeprrafopredeter"/>
          <w:rFonts w:ascii="Arial" w:hAnsi="Arial"/>
          <w:b/>
          <w:color w:val="auto"/>
          <w:sz w:val="21"/>
          <w:szCs w:val="21"/>
        </w:rPr>
        <w:tab/>
      </w:r>
      <w:r>
        <w:rPr>
          <w:rStyle w:val="Fuentedeprrafopredeter"/>
          <w:rFonts w:ascii="Arial" w:hAnsi="Arial"/>
          <w:color w:val="auto"/>
          <w:sz w:val="21"/>
          <w:szCs w:val="21"/>
        </w:rPr>
        <w:t xml:space="preserve">La valoración de </w:t>
      </w:r>
      <w:r>
        <w:rPr>
          <w:rStyle w:val="Fuentedeprrafopredeter"/>
          <w:rFonts w:ascii="Arial" w:hAnsi="Arial"/>
          <w:color w:val="auto"/>
          <w:sz w:val="21"/>
          <w:szCs w:val="21"/>
        </w:rPr>
        <w:t>este criterio se hará c</w:t>
      </w:r>
      <w:r>
        <w:rPr>
          <w:rStyle w:val="Fuentedeprrafopredeter"/>
          <w:rFonts w:ascii="Arial" w:hAnsi="Arial"/>
          <w:color w:val="auto"/>
          <w:sz w:val="21"/>
          <w:szCs w:val="21"/>
        </w:rPr>
        <w:t xml:space="preserve">on arreglo al siguiente procedimiento: </w:t>
      </w:r>
    </w:p>
    <w:p>
      <w:pPr>
        <w:pStyle w:val="Normal"/>
        <w:suppressAutoHyphens w:val="true"/>
        <w:spacing w:before="0" w:after="60"/>
        <w:jc w:val="both"/>
        <w:rPr>
          <w:rFonts w:ascii="Arial" w:hAnsi="Arial"/>
          <w:spacing w:val="-3"/>
          <w:sz w:val="21"/>
          <w:szCs w:val="21"/>
          <w:shd w:fill="auto" w:val="clear"/>
          <w:lang w:val="es-ES"/>
        </w:rPr>
      </w:pPr>
      <w:r>
        <w:rPr>
          <w:rFonts w:ascii="Arial" w:hAnsi="Arial"/>
          <w:spacing w:val="-3"/>
          <w:sz w:val="21"/>
          <w:szCs w:val="21"/>
          <w:shd w:fill="auto" w:val="clear"/>
          <w:lang w:val="es-ES"/>
        </w:rPr>
        <w:tab/>
      </w:r>
      <w:r>
        <w:rPr>
          <w:rFonts w:ascii="Arial" w:hAnsi="Arial"/>
          <w:b/>
          <w:bCs/>
          <w:spacing w:val="-3"/>
          <w:sz w:val="21"/>
          <w:szCs w:val="21"/>
          <w:shd w:fill="FFFFFF" w:val="clear"/>
          <w:lang w:val="es-ES"/>
        </w:rPr>
        <w:t xml:space="preserve">1º.- </w:t>
      </w:r>
      <w:r>
        <w:rPr>
          <w:rFonts w:ascii="Arial" w:hAnsi="Arial"/>
          <w:spacing w:val="-3"/>
          <w:sz w:val="21"/>
          <w:szCs w:val="21"/>
          <w:shd w:fill="FFFFFF" w:val="clear"/>
          <w:lang w:val="es-ES"/>
        </w:rPr>
        <w:t xml:space="preserve">Todas las ofertas serán clasificadas por orden de mejor a peor respecto </w:t>
      </w:r>
      <w:r>
        <w:rPr>
          <w:rFonts w:ascii="Arial" w:hAnsi="Arial"/>
          <w:spacing w:val="-3"/>
          <w:sz w:val="21"/>
          <w:szCs w:val="21"/>
          <w:shd w:fill="FFFFFF" w:val="clear"/>
          <w:lang w:val="es-ES"/>
        </w:rPr>
        <w:t>al criterio</w:t>
      </w:r>
      <w:r>
        <w:rPr>
          <w:rFonts w:ascii="Arial" w:hAnsi="Arial"/>
          <w:spacing w:val="-3"/>
          <w:sz w:val="21"/>
          <w:szCs w:val="21"/>
          <w:shd w:fill="FFFFFF" w:val="clear"/>
          <w:lang w:val="es-ES"/>
        </w:rPr>
        <w:t>.</w:t>
      </w:r>
    </w:p>
    <w:p>
      <w:pPr>
        <w:pStyle w:val="Normal"/>
        <w:suppressAutoHyphens w:val="true"/>
        <w:spacing w:before="0" w:after="60"/>
        <w:jc w:val="both"/>
        <w:rPr>
          <w:rFonts w:ascii="Arial" w:hAnsi="Arial"/>
          <w:spacing w:val="-3"/>
          <w:sz w:val="21"/>
          <w:szCs w:val="21"/>
          <w:shd w:fill="auto" w:val="clear"/>
          <w:lang w:val="es-ES"/>
        </w:rPr>
      </w:pPr>
      <w:r>
        <w:rPr>
          <w:rFonts w:ascii="Arial" w:hAnsi="Arial"/>
          <w:spacing w:val="-3"/>
          <w:sz w:val="21"/>
          <w:szCs w:val="21"/>
          <w:shd w:fill="auto" w:val="clear"/>
          <w:lang w:val="es-ES"/>
        </w:rPr>
        <w:tab/>
      </w:r>
      <w:r>
        <w:rPr>
          <w:rFonts w:ascii="Arial" w:hAnsi="Arial"/>
          <w:b/>
          <w:bCs/>
          <w:spacing w:val="-3"/>
          <w:sz w:val="21"/>
          <w:szCs w:val="21"/>
          <w:shd w:fill="auto" w:val="clear"/>
          <w:lang w:val="es-ES"/>
        </w:rPr>
        <w:t xml:space="preserve">2º.- </w:t>
      </w:r>
      <w:r>
        <w:rPr>
          <w:rFonts w:ascii="Arial" w:hAnsi="Arial"/>
          <w:spacing w:val="-3"/>
          <w:sz w:val="21"/>
          <w:szCs w:val="21"/>
          <w:shd w:fill="auto" w:val="clear"/>
          <w:lang w:val="es-ES"/>
        </w:rPr>
        <w:t xml:space="preserve">Obtenido el orden de prelación de todas las ofertas respecto </w:t>
      </w:r>
      <w:r>
        <w:rPr>
          <w:rFonts w:ascii="Arial" w:hAnsi="Arial"/>
          <w:spacing w:val="-3"/>
          <w:sz w:val="21"/>
          <w:szCs w:val="21"/>
          <w:shd w:fill="auto" w:val="clear"/>
          <w:lang w:val="es-ES"/>
        </w:rPr>
        <w:t>del mismo</w:t>
      </w:r>
      <w:r>
        <w:rPr>
          <w:rFonts w:ascii="Arial" w:hAnsi="Arial"/>
          <w:spacing w:val="-3"/>
          <w:sz w:val="21"/>
          <w:szCs w:val="21"/>
          <w:shd w:fill="auto" w:val="clear"/>
          <w:lang w:val="es-ES"/>
        </w:rPr>
        <w:t xml:space="preserve">, se asignará a la mejor </w:t>
        <w:tab/>
        <w:t>oferta el máximo de los puntos correspondientes.</w:t>
      </w:r>
    </w:p>
    <w:p>
      <w:pPr>
        <w:pStyle w:val="Normal"/>
        <w:suppressAutoHyphens w:val="true"/>
        <w:spacing w:before="0" w:after="60"/>
        <w:jc w:val="both"/>
        <w:rPr>
          <w:rFonts w:ascii="Arial" w:hAnsi="Arial"/>
          <w:spacing w:val="-3"/>
          <w:sz w:val="21"/>
          <w:szCs w:val="21"/>
          <w:shd w:fill="auto" w:val="clear"/>
          <w:lang w:val="es-ES"/>
        </w:rPr>
      </w:pPr>
      <w:r>
        <w:rPr>
          <w:rFonts w:ascii="Arial" w:hAnsi="Arial"/>
          <w:b/>
          <w:bCs/>
          <w:spacing w:val="-3"/>
          <w:sz w:val="21"/>
          <w:szCs w:val="21"/>
          <w:shd w:fill="auto" w:val="clear"/>
          <w:lang w:val="es-ES"/>
        </w:rPr>
        <w:tab/>
        <w:t>3º.-</w:t>
      </w:r>
      <w:r>
        <w:rPr>
          <w:rFonts w:ascii="Arial" w:hAnsi="Arial"/>
          <w:spacing w:val="-3"/>
          <w:sz w:val="21"/>
          <w:szCs w:val="21"/>
          <w:shd w:fill="auto" w:val="clear"/>
          <w:lang w:val="es-ES"/>
        </w:rPr>
        <w:t xml:space="preserve"> A las ofertas siguientes en el orden de prelación se les asignarán los puntos que </w:t>
        <w:tab/>
        <w:t xml:space="preserve">proporcionalmente correspondan por su diferencia con la mejor oferta, de acuerdo con la siguiente fórmula: P=(pm*mo)/O (donde "P" es la puntuación, "pm" es la puntuación máxima, "mo" es la mejor oferta y "O" es el valor cuantitativo de la oferta que se valora). </w:t>
      </w:r>
    </w:p>
    <w:p>
      <w:pPr>
        <w:pStyle w:val="Normal"/>
        <w:tabs>
          <w:tab w:val="clear" w:pos="709"/>
          <w:tab w:val="left" w:pos="-1440" w:leader="none"/>
          <w:tab w:val="left" w:pos="-720" w:leader="none"/>
        </w:tabs>
        <w:spacing w:before="0" w:after="60"/>
        <w:jc w:val="both"/>
        <w:rPr>
          <w:rFonts w:ascii="Times New Roman" w:hAnsi="Times New Roman"/>
          <w:sz w:val="24"/>
          <w:szCs w:val="24"/>
        </w:rPr>
      </w:pPr>
      <w:r>
        <w:rPr>
          <w:rStyle w:val="Fuentedeprrafopredeter"/>
          <w:rFonts w:ascii="Arial" w:hAnsi="Arial"/>
          <w:b/>
          <w:bCs/>
          <w:color w:val="FF3300"/>
          <w:spacing w:val="-3"/>
          <w:sz w:val="21"/>
          <w:szCs w:val="21"/>
          <w:shd w:fill="auto" w:val="clear"/>
          <w:lang w:val="es-ES"/>
        </w:rPr>
        <w:tab/>
      </w:r>
    </w:p>
    <w:p>
      <w:pPr>
        <w:pStyle w:val="Normal"/>
        <w:tabs>
          <w:tab w:val="clear" w:pos="709"/>
          <w:tab w:val="left" w:pos="-1440" w:leader="none"/>
          <w:tab w:val="left" w:pos="-720" w:leader="none"/>
        </w:tabs>
        <w:spacing w:before="0" w:after="60"/>
        <w:jc w:val="both"/>
        <w:rPr>
          <w:rFonts w:ascii="Times New Roman" w:hAnsi="Times New Roman"/>
          <w:sz w:val="24"/>
          <w:szCs w:val="24"/>
        </w:rPr>
      </w:pPr>
      <w:r>
        <w:rPr>
          <w:rStyle w:val="Fuentedeprrafopredeter"/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Finalmente, se sumará la puntuación obtenida por </w:t>
      </w:r>
      <w:r>
        <w:rPr>
          <w:rStyle w:val="Fuentedeprrafopredeter"/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cada</w:t>
      </w:r>
      <w:r>
        <w:rPr>
          <w:rStyle w:val="Fuentedeprrafopredeter"/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 xml:space="preserve"> licitador en cada uno de los criterios para determin</w:t>
      </w:r>
      <w:r>
        <w:rPr>
          <w:rStyle w:val="Fuentedeprrafopredeter"/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pacing w:val="-3"/>
          <w:kern w:val="2"/>
          <w:sz w:val="21"/>
          <w:szCs w:val="21"/>
          <w:shd w:fill="auto" w:val="clear"/>
          <w:lang w:val="es-ES" w:eastAsia="zh-CN" w:bidi="ar-SA"/>
        </w:rPr>
        <w:t>ar la puntuación final.</w:t>
      </w:r>
    </w:p>
    <w:p>
      <w:pPr>
        <w:pStyle w:val="Normal"/>
        <w:widowControl/>
        <w:spacing w:lineRule="auto" w:line="24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ar-SA"/>
        </w:rPr>
      </w:pPr>
      <w:r>
        <w:rPr/>
      </w:r>
    </w:p>
    <w:p>
      <w:pPr>
        <w:pStyle w:val="Normal"/>
        <w:widowControl/>
        <w:spacing w:lineRule="auto" w:line="240"/>
        <w:jc w:val="both"/>
        <w:rPr/>
      </w:pPr>
      <w:r>
        <w:rPr>
          <w:rStyle w:val="Fuentedeprrafopredeter"/>
          <w:rFonts w:eastAsia="Arial Unicode MS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ar-SA"/>
        </w:rPr>
        <w:t>4.- Se procede a incorporar los valores ofertados a la formula dando como resultado lo siguiente:</w:t>
      </w:r>
    </w:p>
    <w:p>
      <w:pPr>
        <w:pStyle w:val="Normal"/>
        <w:widowControl/>
        <w:spacing w:lineRule="auto" w:line="24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ar-SA"/>
        </w:rPr>
      </w:pPr>
      <w:r>
        <w:rPr/>
      </w:r>
    </w:p>
    <w:p>
      <w:pPr>
        <w:pStyle w:val="Normal"/>
        <w:widowControl/>
        <w:spacing w:lineRule="auto" w:line="24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ar-SA"/>
        </w:rPr>
      </w:pPr>
      <w:r>
        <w:rPr/>
      </w:r>
    </w:p>
    <w:p>
      <w:pPr>
        <w:pStyle w:val="Normal"/>
        <w:suppressAutoHyphens w:val="true"/>
        <w:spacing w:before="0" w:after="60"/>
        <w:jc w:val="both"/>
        <w:rPr>
          <w:rStyle w:val="Fuentedeprrafopredeter"/>
          <w:rFonts w:ascii="Arial" w:hAnsi="Arial" w:eastAsia="Arial Unicode MS" w:cs="Calibri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-3"/>
          <w:kern w:val="2"/>
          <w:position w:val="0"/>
          <w:sz w:val="21"/>
          <w:sz w:val="21"/>
          <w:szCs w:val="21"/>
          <w:u w:val="none"/>
          <w:shd w:fill="auto" w:val="clear"/>
          <w:vertAlign w:val="baseline"/>
          <w:em w:val="none"/>
          <w:lang w:val="es-ES" w:eastAsia="zh-CN" w:bidi="ar-SA"/>
        </w:rPr>
      </w:pPr>
      <w:r>
        <w:rPr>
          <w:rFonts w:ascii="Amiri" w:hAnsi="Amiri"/>
          <w:spacing w:val="-3"/>
          <w:sz w:val="22"/>
          <w:szCs w:val="22"/>
          <w:shd w:fill="auto" w:val="clear"/>
          <w:lang w:val="es-ES"/>
        </w:rPr>
        <w:object w:dxaOrig="10924" w:dyaOrig="1973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-13pt;margin-top:0pt;width:507.95pt;height:91.75pt;mso-position-horizontal-relative:text;mso-position-vertical-relative:text" filled="f" o:ole="">
            <v:imagedata r:id="rId5" o:title=""/>
            <w10:wrap type="square" side="largest"/>
          </v:shape>
          <o:OLEObject Type="Embed" ProgID="Excel.Sheet.12" ShapeID="ole_rId4" DrawAspect="Content" ObjectID="_1388291296" r:id="rId4"/>
        </w:objec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 xml:space="preserve">5.- Valoración criterios evaluables automáticamente: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Una vez remitida la información por el equipo técnico, éste ha valorado las proposiciones técnicas de acuerdo a los criterios del PCAP de la siguiente manera: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GEXTIONA APV CONSULTORES S.L: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         </w:t>
      </w:r>
      <w:r>
        <w:rPr>
          <w:rFonts w:ascii="Arial" w:hAnsi="Arial"/>
          <w:color w:val="000000"/>
          <w:sz w:val="21"/>
          <w:szCs w:val="21"/>
        </w:rPr>
        <w:t>Puntuación: 60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Arial" w:hAnsi="Arial"/>
          <w:color w:val="000000"/>
          <w:sz w:val="21"/>
          <w:szCs w:val="21"/>
        </w:rPr>
        <w:t>SERVICIOS JURÍDICOS Y ADMINISTRACION GRUPO ROPASA S.L.: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         </w:t>
      </w:r>
      <w:r>
        <w:rPr>
          <w:rFonts w:ascii="Arial" w:hAnsi="Arial"/>
          <w:color w:val="000000"/>
          <w:sz w:val="21"/>
          <w:szCs w:val="21"/>
        </w:rPr>
        <w:t>Puntuación: 45.22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UNIVE ABOGADOS SECTOR PUBLICO S.L.P.: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         </w:t>
      </w:r>
      <w:r>
        <w:rPr>
          <w:rFonts w:ascii="Arial" w:hAnsi="Arial"/>
          <w:color w:val="000000"/>
          <w:sz w:val="21"/>
          <w:szCs w:val="21"/>
        </w:rPr>
        <w:t>Puntuación: 47.47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</w:t>
      </w:r>
    </w:p>
    <w:p>
      <w:pPr>
        <w:pStyle w:val="Normal"/>
        <w:ind w:hanging="0" w:left="0" w:right="0"/>
        <w:jc w:val="left"/>
        <w:rPr>
          <w:color w:val="000000"/>
        </w:rPr>
      </w:pPr>
      <w:r>
        <w:rPr>
          <w:rFonts w:ascii="Arial" w:hAnsi="Arial"/>
          <w:b/>
          <w:bCs/>
          <w:sz w:val="21"/>
          <w:szCs w:val="21"/>
        </w:rPr>
      </w:r>
    </w:p>
    <w:p>
      <w:pPr>
        <w:pStyle w:val="Normal"/>
        <w:ind w:hanging="0" w:left="0" w:right="0"/>
        <w:jc w:val="left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6.- Propuesta adjudicación: 1-2025 - Servicio de asesoramiento laboral a la sociedad pública Sermugran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De acuerdo a la evaluación de las propuestas aportadas por los licitadores, la mesa concluye la siguiente lista ordenada de manera decreciente de puntuación de acuerdo a las puntuaciones obtenidas por los licitadores en las diferentes fases: </w:t>
      </w:r>
    </w:p>
    <w:p>
      <w:pPr>
        <w:pStyle w:val="Normal"/>
        <w:ind w:hanging="0" w:left="0" w:right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Orden: 1NIF: B87171286 UNIVE ABOGADOS SECTOR PUBLICO S.L.P. Propuesto para la adjudicación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Total criterios CJV: 40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Total criterios CAF: 47.47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Total puntuación: 87.47</w:t>
      </w:r>
    </w:p>
    <w:p>
      <w:pPr>
        <w:pStyle w:val="Normal"/>
        <w:ind w:hanging="0" w:left="0" w:right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Orden: 2NIF: B76791615 GEXTIONA APV CONSULTORES S.L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Total criterios CJV: 27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Total criterios CAF: 60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Total puntuación: 87</w:t>
      </w:r>
    </w:p>
    <w:p>
      <w:pPr>
        <w:pStyle w:val="Normal"/>
        <w:ind w:hanging="0" w:left="0" w:right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Orden: 3NIF: B76592443 SERVICIOS JURÍDICOS Y ADMINISTRACION GRUPO ROPASA S.L.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Total criterios CJV: 22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Total criterios CAF: 45.22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Total puntuación: 67.22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Se propone al Órgano de Contratación a </w:t>
      </w:r>
      <w:r>
        <w:rPr>
          <w:rFonts w:ascii="Arial" w:hAnsi="Arial"/>
          <w:sz w:val="21"/>
          <w:szCs w:val="21"/>
        </w:rPr>
        <w:t>Unive</w:t>
      </w:r>
      <w:r>
        <w:rPr>
          <w:rFonts w:ascii="Arial" w:hAnsi="Arial"/>
          <w:sz w:val="21"/>
          <w:szCs w:val="21"/>
        </w:rPr>
        <w:t xml:space="preserve"> como licitador con la oferta mas ventajosa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Yo, como Secretario, certifico con el visto bueno del Presidente: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</w:t>
      </w:r>
      <w:r>
        <w:rPr>
          <w:rFonts w:ascii="Arial" w:hAnsi="Arial"/>
          <w:sz w:val="21"/>
          <w:szCs w:val="21"/>
        </w:rPr>
        <w:t>Manuel Ortiz Correa</w:t>
        <w:tab/>
        <w:tab/>
        <w:tab/>
        <w:tab/>
        <w:tab/>
        <w:tab/>
      </w:r>
      <w:r>
        <w:rPr>
          <w:rFonts w:ascii="Arial" w:hAnsi="Arial"/>
          <w:sz w:val="21"/>
          <w:szCs w:val="21"/>
        </w:rPr>
        <w:t>David Santos Delgado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SECRETARIO</w:t>
        <w:tab/>
      </w:r>
      <w:r>
        <w:rPr>
          <w:rFonts w:ascii="Arial" w:hAnsi="Arial"/>
          <w:sz w:val="21"/>
          <w:szCs w:val="21"/>
        </w:rPr>
        <w:t>Y VOCAL</w:t>
      </w:r>
      <w:r>
        <w:rPr>
          <w:rFonts w:ascii="Arial" w:hAnsi="Arial"/>
          <w:sz w:val="21"/>
          <w:szCs w:val="21"/>
        </w:rPr>
        <w:tab/>
        <w:tab/>
        <w:tab/>
        <w:tab/>
        <w:tab/>
        <w:t>PRESIDENTE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</w:t>
      </w:r>
      <w:r>
        <w:rPr>
          <w:rFonts w:ascii="Arial" w:hAnsi="Arial"/>
          <w:sz w:val="21"/>
          <w:szCs w:val="21"/>
        </w:rPr>
        <w:t>ª. Andama Gaspar Sosa</w:t>
      </w:r>
      <w:r>
        <w:rPr>
          <w:rFonts w:ascii="Arial" w:hAnsi="Arial"/>
          <w:sz w:val="21"/>
          <w:szCs w:val="21"/>
        </w:rPr>
        <w:tab/>
        <w:tab/>
        <w:tab/>
        <w:tab/>
        <w:tab/>
        <w:t xml:space="preserve">D. </w:t>
      </w:r>
      <w:r>
        <w:rPr>
          <w:rFonts w:ascii="Arial" w:hAnsi="Arial"/>
          <w:sz w:val="21"/>
          <w:szCs w:val="21"/>
        </w:rPr>
        <w:t>Jose Manuel Luis Pérez</w:t>
      </w:r>
    </w:p>
    <w:p>
      <w:pPr>
        <w:pStyle w:val="Normal"/>
        <w:ind w:hanging="0" w:left="0" w:right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</w:t>
      </w:r>
      <w:r>
        <w:rPr>
          <w:rFonts w:ascii="Arial" w:hAnsi="Arial"/>
          <w:sz w:val="21"/>
          <w:szCs w:val="21"/>
        </w:rPr>
        <w:t>VOCA</w:t>
      </w:r>
      <w:r>
        <w:rPr>
          <w:rFonts w:ascii="Arial" w:hAnsi="Arial"/>
          <w:sz w:val="21"/>
          <w:szCs w:val="21"/>
        </w:rPr>
        <w:t>L</w:t>
        <w:tab/>
        <w:tab/>
        <w:tab/>
        <w:tab/>
        <w:tab/>
        <w:tab/>
        <w:t xml:space="preserve">             </w:t>
      </w:r>
      <w:r>
        <w:rPr>
          <w:rFonts w:ascii="Arial" w:hAnsi="Arial"/>
          <w:sz w:val="21"/>
          <w:szCs w:val="21"/>
        </w:rPr>
        <w:t>V</w:t>
      </w:r>
      <w:r>
        <w:rPr>
          <w:rFonts w:ascii="Arial" w:hAnsi="Arial"/>
          <w:sz w:val="21"/>
          <w:szCs w:val="21"/>
        </w:rPr>
        <w:t>OCAL</w:t>
      </w:r>
    </w:p>
    <w:sectPr>
      <w:headerReference w:type="default" r:id="rId6"/>
      <w:footerReference w:type="default" r:id="rId7"/>
      <w:type w:val="nextPage"/>
      <w:pgSz w:w="11906" w:h="16838"/>
      <w:pgMar w:left="1134" w:right="1134" w:gutter="0" w:header="1134" w:top="3034" w:footer="1134" w:bottom="197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miri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enter" w:pos="0" w:leader="none"/>
        <w:tab w:val="right" w:pos="9638" w:leader="none"/>
      </w:tabs>
      <w:jc w:val="both"/>
      <w:rPr>
        <w:sz w:val="16"/>
        <w:szCs w:val="16"/>
        <w:lang w:val="es-ES" w:eastAsia="es-ES"/>
      </w:rPr>
    </w:pPr>
    <w:r>
      <w:rPr>
        <w:rFonts w:eastAsia="NSimSun" w:cs="Arial" w:ascii="Liberation Serif;Times New Roman" w:hAnsi="Liberation Serif;Times New Roman"/>
        <w:i w:val="false"/>
        <w:iCs w:val="false"/>
        <w:color w:val="auto"/>
        <w:kern w:val="2"/>
        <w:sz w:val="16"/>
        <w:szCs w:val="16"/>
        <w:lang w:val="es-ES" w:eastAsia="zh-CN" w:bidi="hi-IN"/>
      </w:rPr>
      <w:t>E</w:t>
    </w:r>
    <w:r>
      <w:rPr>
        <w:rFonts w:eastAsia="NSimSun" w:cs="Arial" w:ascii="Liberation Serif;Times New Roman" w:hAnsi="Liberation Serif;Times New Roman"/>
        <w:i w:val="false"/>
        <w:iCs w:val="false"/>
        <w:color w:val="auto"/>
        <w:kern w:val="2"/>
        <w:sz w:val="16"/>
        <w:szCs w:val="16"/>
        <w:lang w:val="es-ES" w:eastAsia="zh-CN" w:bidi="hi-IN"/>
      </w:rPr>
      <w:t xml:space="preserve">xpediente de contratación  </w:t>
    </w:r>
    <w:r>
      <w:rPr>
        <w:rFonts w:eastAsia="NSimSun" w:cs="Arial" w:ascii="Times New Roman" w:hAnsi="Times New Roman"/>
        <w:i w:val="false"/>
        <w:iCs w:val="false"/>
        <w:color w:val="000000"/>
        <w:kern w:val="2"/>
        <w:sz w:val="20"/>
        <w:szCs w:val="16"/>
        <w:lang w:val="es-ES" w:eastAsia="zh-CN" w:bidi="hi-IN"/>
      </w:rPr>
      <w:t xml:space="preserve"> </w:t>
    </w:r>
    <w:r>
      <w:rPr>
        <w:rFonts w:eastAsia="NSimSun" w:cs="Arial" w:ascii="Arial" w:hAnsi="Arial"/>
        <w:i w:val="false"/>
        <w:iCs w:val="false"/>
        <w:color w:val="000000"/>
        <w:kern w:val="2"/>
        <w:sz w:val="16"/>
        <w:szCs w:val="16"/>
        <w:lang w:val="es-ES" w:eastAsia="zh-CN" w:bidi="hi-IN"/>
      </w:rPr>
      <w:t>1-2025 - Servicio de asesoramiento laboral a la sociedad pública Sermugran</w:t>
    </w:r>
  </w:p>
  <w:p>
    <w:pPr>
      <w:pStyle w:val="Footer"/>
      <w:rPr>
        <w:sz w:val="14"/>
        <w:szCs w:val="14"/>
        <w:lang w:val="es-ES" w:eastAsia="es-ES"/>
      </w:rPr>
    </w:pPr>
    <w:r>
      <w:rPr>
        <w:sz w:val="14"/>
        <w:szCs w:val="14"/>
        <w:lang w:val="es-ES" w:eastAsia="es-ES"/>
      </w:rPr>
    </w:r>
  </w:p>
  <w:p>
    <w:pPr>
      <w:pStyle w:val="Footer"/>
      <w:rPr>
        <w:sz w:val="14"/>
        <w:szCs w:val="14"/>
        <w:lang w:val="es-ES" w:eastAsia="es-ES"/>
      </w:rPr>
    </w:pPr>
    <w:r>
      <w:rPr>
        <w:sz w:val="14"/>
        <w:szCs w:val="14"/>
        <w:lang w:val="es-ES" w:eastAsia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203960" cy="851535"/>
          <wp:effectExtent l="0" t="0" r="0" b="0"/>
          <wp:docPr id="2" name="Imagen2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  <w:drawing>
        <wp:anchor behindDoc="0" distT="0" distB="0" distL="0" distR="0" simplePos="0" locked="0" layoutInCell="0" allowOverlap="1" relativeHeight="15">
          <wp:simplePos x="0" y="0"/>
          <wp:positionH relativeFrom="column">
            <wp:posOffset>6180455</wp:posOffset>
          </wp:positionH>
          <wp:positionV relativeFrom="paragraph">
            <wp:posOffset>8246745</wp:posOffset>
          </wp:positionV>
          <wp:extent cx="477520" cy="930275"/>
          <wp:effectExtent l="0" t="0" r="0" b="0"/>
          <wp:wrapSquare wrapText="largest"/>
          <wp:docPr id="3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930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2">
    <w:name w:val="heading 2"/>
    <w:basedOn w:val="Ttulo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Caracteresdenotafinal">
    <w:name w:val="Caracteres de nota final"/>
    <w:qFormat/>
    <w:rPr/>
  </w:style>
  <w:style w:type="character" w:styleId="EndnoteReference">
    <w:name w:val="endnote reference"/>
    <w:rPr>
      <w:vertAlign w:val="superscript"/>
    </w:rPr>
  </w:style>
  <w:style w:type="character" w:styleId="Smbolosdenumeracin">
    <w:name w:val="Símbolos de numeración"/>
    <w:qFormat/>
    <w:rPr/>
  </w:style>
  <w:style w:type="character" w:styleId="Fuentedeprrafopredeter">
    <w:name w:val="Fuente de párrafo predeter."/>
    <w:qFormat/>
    <w:rPr/>
  </w:style>
  <w:style w:type="character" w:styleId="Ninguno">
    <w:name w:val="Ninguno"/>
    <w:qFormat/>
    <w:rPr/>
  </w:style>
  <w:style w:type="character" w:styleId="Textoennegrita">
    <w:name w:val="Texto en negrita"/>
    <w:basedOn w:val="Fuentedeprrafopredeter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EndnoteText">
    <w:name w:val="end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Footer">
    <w:name w:val="foot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0"/>
      <w:lang w:val="es-ES" w:eastAsia="zh-CN" w:bidi="ar-SA"/>
    </w:rPr>
  </w:style>
  <w:style w:type="paragraph" w:styleId="TableParagraph">
    <w:name w:val="Table Paragraph"/>
    <w:basedOn w:val="Normal"/>
    <w:qFormat/>
    <w:pPr>
      <w:widowControl w:val="false"/>
      <w:suppressAutoHyphens w:val="false"/>
      <w:autoSpaceDE w:val="false"/>
    </w:pPr>
    <w:rPr>
      <w:rFonts w:ascii="Arial" w:hAnsi="Arial" w:eastAsia="Arial" w:cs="Arial"/>
      <w:kern w:val="0"/>
      <w:sz w:val="22"/>
      <w:szCs w:val="22"/>
      <w:lang w:bidi="ar-SA"/>
    </w:rPr>
  </w:style>
  <w:style w:type="paragraph" w:styleId="BodyTextIndent">
    <w:name w:val="Body Text Indent"/>
    <w:basedOn w:val="Normal"/>
    <w:pPr>
      <w:ind w:left="708"/>
      <w:jc w:val="both"/>
    </w:pPr>
    <w:rPr>
      <w:rFonts w:ascii="Arial" w:hAnsi="Arial" w:eastAsia="unknown"/>
      <w:color w:val="000000"/>
      <w:sz w:val="26"/>
    </w:rPr>
  </w:style>
  <w:style w:type="paragraph" w:styleId="Ttulodelatabla">
    <w:name w:val="Título de la tabla"/>
    <w:basedOn w:val="Contenidodelatabla"/>
    <w:qFormat/>
    <w:pPr>
      <w:jc w:val="center"/>
    </w:pPr>
    <w:rPr>
      <w:rFonts w:ascii="Arial" w:hAnsi="Arial" w:eastAsia="unknown"/>
      <w:b/>
      <w:bCs/>
      <w:color w:val="00000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package" Target="embeddings/oleObject2.xlsx"/><Relationship Id="rId5" Type="http://schemas.openxmlformats.org/officeDocument/2006/relationships/image" Target="media/image2.em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1919</TotalTime>
  <Application>LibreOffice/24.8.7.2$Windows_X86_64 LibreOffice_project/e07d0a63a46349d29051da79b1fde8160bab2a89</Application>
  <AppVersion>15.0000</AppVersion>
  <Pages>7</Pages>
  <Words>1660</Words>
  <Characters>9357</Characters>
  <CharactersWithSpaces>11041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2021-03-12T12:53:09Z</dcterms:created>
  <dc:creator/>
  <dc:description/>
  <dc:language>es-ES</dc:language>
  <cp:lastModifiedBy/>
  <cp:lastPrinted>2025-03-27T15:53:00Z</cp:lastPrinted>
  <dcterms:modified xsi:type="dcterms:W3CDTF">2025-03-27T16:07:01Z</dcterms:modified>
  <cp:revision>14</cp:revision>
  <dc:subject/>
  <dc:title/>
</cp:coreProperties>
</file>