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media/image1.emf" ContentType="image/x-emf"/>
  <Override PartName="/word/numbering.xml" ContentType="application/vnd.openxmlformats-officedocument.wordprocessingml.numbering+xml"/>
  <Override PartName="/word/embeddings/oleObject1.xlsx" ContentType="application/vnd.openxmlformats-officedocument.spreadsheetml.shee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b/>
          <w:bCs/>
          <w:sz w:val="28"/>
          <w:szCs w:val="28"/>
        </w:rPr>
      </w:pPr>
      <w:r>
        <w:rPr>
          <w:rFonts w:ascii="Arial" w:hAnsi="Arial"/>
          <w:b/>
          <w:bCs/>
          <w:sz w:val="28"/>
          <w:szCs w:val="28"/>
        </w:rPr>
        <mc:AlternateContent>
          <mc:Choice Requires="wps">
            <w:drawing>
              <wp:anchor distT="1270" distB="1270" distL="16510" distR="16510" simplePos="0" relativeHeight="10" behindDoc="0" locked="0" layoutInCell="1" allowOverlap="1">
                <wp:simplePos x="0" y="0"/>
                <wp:positionH relativeFrom="column">
                  <wp:posOffset>-4168140</wp:posOffset>
                </wp:positionH>
                <wp:positionV relativeFrom="paragraph">
                  <wp:posOffset>3652520</wp:posOffset>
                </wp:positionV>
                <wp:extent cx="7520940" cy="531495"/>
                <wp:effectExtent l="16510" t="1270" r="16510" b="1270"/>
                <wp:wrapNone/>
                <wp:docPr id="1" name="Forma1"/>
                <a:graphic xmlns:a="http://schemas.openxmlformats.org/drawingml/2006/main">
                  <a:graphicData uri="http://schemas.microsoft.com/office/word/2010/wordprocessingShape">
                    <wps:wsp>
                      <wps:cNvSpPr/>
                      <wps:spPr>
                        <a:xfrm rot="16215000">
                          <a:off x="0" y="0"/>
                          <a:ext cx="7521120" cy="531360"/>
                        </a:xfrm>
                        <a:prstGeom prst="rect">
                          <a:avLst/>
                        </a:prstGeom>
                        <a:noFill/>
                        <a:ln w="0">
                          <a:noFill/>
                        </a:ln>
                      </wps:spPr>
                      <wps:style>
                        <a:lnRef idx="0"/>
                        <a:fillRef idx="0"/>
                        <a:effectRef idx="0"/>
                        <a:fontRef idx="minor"/>
                      </wps:style>
                      <wps:txbx>
                        <w:txbxContent>
                          <w:p>
                            <w:pPr>
                              <w:pStyle w:val="Contenidodelmarcouser"/>
                              <w:overflowPunct w:val="false"/>
                              <w:bidi w:val="0"/>
                              <w:spacing w:lineRule="auto" w:line="240" w:before="0" w:after="0"/>
                              <w:ind w:hanging="0" w:left="0" w:right="0"/>
                              <w:jc w:val="center"/>
                              <w:rPr/>
                            </w:pPr>
                            <w:r>
                              <w:rPr>
                                <w:rFonts w:cs="Arial" w:ascii="Arial" w:hAnsi="Arial"/>
                                <w:color w:val="000000"/>
                                <w:sz w:val="14"/>
                                <w:szCs w:val="14"/>
                                <w:lang w:val="es-ES_tradnl"/>
                              </w:rPr>
                              <w:t>Servicios Municipales de Granadilla de Abona, S.L. B38711248, Lugar Plaza Gonzalez, Mena s/n, 38600, Granadilla de Abona. Tf: 922 758 116</w:t>
                            </w:r>
                          </w:p>
                        </w:txbxContent>
                      </wps:txbx>
                      <wps:bodyPr lIns="0" tIns="0" rIns="0" bIns="0" anchor="ctr">
                        <a:noAutofit/>
                      </wps:bodyPr>
                    </wps:wsp>
                  </a:graphicData>
                </a:graphic>
              </wp:anchor>
            </w:drawing>
          </mc:Choice>
          <mc:Fallback>
            <w:pict>
              <v:rect id="shape_0" stroked="f" o:allowincell="f" style="position:absolute;margin-left:-328.2pt;margin-top:287.6pt;width:592.15pt;height:41.8pt;mso-wrap-style:square;v-text-anchor:middle;rotation:270">
                <v:fill o:detectmouseclick="t" on="false"/>
                <v:stroke color="#3465a4" joinstyle="round" endcap="flat"/>
                <v:textbox>
                  <w:txbxContent>
                    <w:p>
                      <w:pPr>
                        <w:pStyle w:val="Contenidodelmarcouser"/>
                        <w:overflowPunct w:val="false"/>
                        <w:bidi w:val="0"/>
                        <w:spacing w:lineRule="auto" w:line="240" w:before="0" w:after="0"/>
                        <w:ind w:hanging="0" w:left="0" w:right="0"/>
                        <w:jc w:val="center"/>
                        <w:rPr/>
                      </w:pPr>
                      <w:r>
                        <w:rPr>
                          <w:rFonts w:cs="Arial" w:ascii="Arial" w:hAnsi="Arial"/>
                          <w:color w:val="000000"/>
                          <w:sz w:val="14"/>
                          <w:szCs w:val="14"/>
                          <w:lang w:val="es-ES_tradnl"/>
                        </w:rPr>
                        <w:t>Servicios Municipales de Granadilla de Abona, S.L. B38711248, Lugar Plaza Gonzalez, Mena s/n, 38600, Granadilla de Abona. Tf: 922 758 116</w:t>
                      </w:r>
                    </w:p>
                  </w:txbxContent>
                </v:textbox>
                <w10:wrap type="none"/>
              </v:rect>
            </w:pict>
          </mc:Fallback>
        </mc:AlternateContent>
      </w:r>
    </w:p>
    <w:p>
      <w:pPr>
        <w:pStyle w:val="Normal"/>
        <w:jc w:val="center"/>
        <w:rPr>
          <w:rFonts w:ascii="Arial" w:hAnsi="Arial"/>
          <w:b/>
          <w:bCs/>
          <w:sz w:val="28"/>
          <w:szCs w:val="28"/>
          <w:u w:val="single"/>
        </w:rPr>
      </w:pPr>
      <w:r>
        <w:rPr>
          <w:rFonts w:ascii="Arial" w:hAnsi="Arial"/>
          <w:b/>
          <w:bCs/>
          <w:sz w:val="28"/>
          <w:szCs w:val="28"/>
          <w:u w:val="single"/>
        </w:rPr>
      </w:r>
    </w:p>
    <w:p>
      <w:pPr>
        <w:pStyle w:val="Normal"/>
        <w:jc w:val="right"/>
        <w:rPr>
          <w:b/>
          <w:bCs/>
        </w:rPr>
      </w:pPr>
      <w:r>
        <w:rPr>
          <w:b/>
          <w:bCs/>
        </w:rPr>
      </w:r>
    </w:p>
    <w:p>
      <w:pPr>
        <w:pStyle w:val="Normal"/>
        <w:spacing w:lineRule="atLeast" w:line="636" w:before="3" w:after="0"/>
        <w:jc w:val="center"/>
        <w:rPr>
          <w:rFonts w:ascii="Trebuchet MS" w:hAnsi="Trebuchet MS"/>
          <w:color w:val="000000"/>
          <w:spacing w:val="-3"/>
          <w:sz w:val="55"/>
          <w:lang w:val="es-ES"/>
        </w:rPr>
      </w:pPr>
      <w:r>
        <w:rPr>
          <w:rFonts w:ascii="Trebuchet MS" w:hAnsi="Trebuchet MS"/>
          <w:color w:val="000000"/>
          <w:spacing w:val="-3"/>
          <w:sz w:val="55"/>
          <w:lang w:val="es-ES"/>
        </w:rPr>
      </w:r>
    </w:p>
    <w:p>
      <w:pPr>
        <w:pStyle w:val="Normal"/>
        <w:spacing w:lineRule="atLeast" w:line="636" w:before="3" w:after="0"/>
        <w:jc w:val="center"/>
        <w:rPr>
          <w:rFonts w:ascii="Trebuchet MS" w:hAnsi="Trebuchet MS"/>
          <w:color w:val="000000"/>
          <w:spacing w:val="-3"/>
          <w:sz w:val="55"/>
          <w:lang w:val="es-ES"/>
        </w:rPr>
      </w:pPr>
      <w:r>
        <w:rPr>
          <w:rFonts w:ascii="Trebuchet MS" w:hAnsi="Trebuchet MS"/>
          <w:color w:val="000000"/>
          <w:spacing w:val="-3"/>
          <w:sz w:val="55"/>
          <w:lang w:val="es-ES"/>
        </w:rPr>
        <w:t>PLAN DE CONTRATACIÓN</w:t>
      </w:r>
    </w:p>
    <w:p>
      <w:pPr>
        <w:pStyle w:val="Normal"/>
        <w:spacing w:lineRule="atLeast" w:line="553" w:before="99" w:after="0"/>
        <w:jc w:val="center"/>
        <w:rPr/>
      </w:pPr>
      <w:r>
        <w:rPr>
          <w:rFonts w:ascii="Trebuchet MS" w:hAnsi="Trebuchet MS"/>
          <w:color w:val="000000"/>
          <w:spacing w:val="-13"/>
          <w:sz w:val="55"/>
          <w:lang w:val="es-ES"/>
        </w:rPr>
        <w:t xml:space="preserve">DE SERVICIOS MUNICIPALES DE GRANADILLA DE ABONA </w:t>
      </w:r>
      <w:r>
        <w:rPr>
          <w:rFonts w:ascii="Trebuchet MS" w:hAnsi="Trebuchet MS"/>
          <w:color w:val="000000"/>
          <w:spacing w:val="-10"/>
          <w:sz w:val="55"/>
          <w:lang w:val="es-ES"/>
        </w:rPr>
        <w:t xml:space="preserve"> 2025</w:t>
      </w:r>
    </w:p>
    <w:p>
      <w:pPr>
        <w:pStyle w:val="Normal"/>
        <w:jc w:val="left"/>
        <w:rPr>
          <w:b/>
          <w:bCs/>
        </w:rPr>
      </w:pPr>
      <w:r>
        <w:rPr>
          <w:b/>
          <w:bCs/>
        </w:rPr>
      </w:r>
    </w:p>
    <w:p>
      <w:pPr>
        <w:pStyle w:val="Normal"/>
        <w:jc w:val="left"/>
        <w:rPr>
          <w:b/>
          <w:bCs/>
        </w:rPr>
      </w:pPr>
      <w:r>
        <w:rPr>
          <w:b/>
          <w:bCs/>
        </w:rPr>
      </w:r>
    </w:p>
    <w:p>
      <w:pPr>
        <w:pStyle w:val="Normal"/>
        <w:spacing w:before="113" w:after="113"/>
        <w:ind w:hanging="0" w:left="0" w:right="0"/>
        <w:jc w:val="left"/>
        <w:rPr>
          <w:rFonts w:ascii="Arial" w:hAnsi="Arial" w:cs="Verdana"/>
          <w:b w:val="false"/>
          <w:bCs w:val="false"/>
          <w:sz w:val="24"/>
          <w:szCs w:val="24"/>
          <w:lang w:val="es-ES_tradnl"/>
        </w:rPr>
      </w:pPr>
      <w:r>
        <w:rPr>
          <w:rFonts w:cs="Verdana" w:ascii="Arial" w:hAnsi="Arial"/>
          <w:b w:val="false"/>
          <w:bCs w:val="false"/>
          <w:sz w:val="24"/>
          <w:szCs w:val="24"/>
          <w:lang w:val="es-ES_tradnl"/>
        </w:rPr>
      </w:r>
    </w:p>
    <w:p>
      <w:pPr>
        <w:pStyle w:val="Normal"/>
        <w:numPr>
          <w:ilvl w:val="0"/>
          <w:numId w:val="3"/>
        </w:numPr>
        <w:tabs>
          <w:tab w:val="clear" w:pos="709"/>
          <w:tab w:val="left" w:pos="360" w:leader="none"/>
          <w:tab w:val="left" w:pos="720" w:leader="none"/>
        </w:tabs>
        <w:spacing w:lineRule="atLeast" w:line="314" w:before="8" w:after="0"/>
        <w:ind w:hanging="0" w:left="360" w:right="0"/>
        <w:rPr>
          <w:rFonts w:ascii="Trebuchet MS" w:hAnsi="Trebuchet MS"/>
          <w:color w:val="000000"/>
          <w:spacing w:val="5"/>
          <w:sz w:val="28"/>
          <w:lang w:val="es-ES"/>
        </w:rPr>
      </w:pPr>
      <w:r>
        <w:rPr>
          <w:rFonts w:ascii="Trebuchet MS" w:hAnsi="Trebuchet MS"/>
          <w:b/>
          <w:bCs/>
          <w:color w:val="000000"/>
          <w:spacing w:val="5"/>
          <w:sz w:val="28"/>
          <w:lang w:val="es-ES"/>
        </w:rPr>
        <w:t>JUSTIFICACIÓN</w:t>
      </w:r>
    </w:p>
    <w:p>
      <w:pPr>
        <w:pStyle w:val="Normal"/>
        <w:spacing w:lineRule="atLeast" w:line="395" w:before="126" w:after="0"/>
        <w:ind w:hanging="0" w:left="0" w:right="144"/>
        <w:jc w:val="both"/>
        <w:rPr>
          <w:rFonts w:ascii="Trebuchet MS" w:hAnsi="Trebuchet MS"/>
          <w:color w:val="000000"/>
          <w:spacing w:val="0"/>
          <w:sz w:val="28"/>
          <w:lang w:val="es-ES"/>
        </w:rPr>
      </w:pPr>
      <w:r>
        <w:rPr>
          <w:rFonts w:ascii="Trebuchet MS" w:hAnsi="Trebuchet MS"/>
          <w:color w:val="000000"/>
          <w:spacing w:val="0"/>
          <w:sz w:val="28"/>
          <w:lang w:val="es-ES"/>
        </w:rPr>
        <w:t>El artículo 28.4 de la Ley 9/2017, de 8 de noviembre, de Contratos del Sector Público, dispone que las entidades del sector público programarán su actividad de contratación pública que desarrollarán en un ejercicio presupuestario o períodos anuales y darán a conocer su plan de contratación anticipadamente mediante un anuncio de información previa que al menos recoja aquellos contratos que quedarán sujetos a una regulación armonizada.</w:t>
      </w:r>
    </w:p>
    <w:p>
      <w:pPr>
        <w:pStyle w:val="Normal"/>
        <w:spacing w:lineRule="atLeast" w:line="396" w:before="121" w:after="0"/>
        <w:ind w:hanging="0" w:left="0" w:right="144"/>
        <w:jc w:val="both"/>
        <w:rPr>
          <w:rFonts w:ascii="Trebuchet MS" w:hAnsi="Trebuchet MS"/>
          <w:color w:val="000000"/>
          <w:spacing w:val="0"/>
          <w:sz w:val="28"/>
          <w:lang w:val="es-ES"/>
        </w:rPr>
      </w:pPr>
      <w:r>
        <w:rPr>
          <w:rFonts w:ascii="Trebuchet MS" w:hAnsi="Trebuchet MS"/>
          <w:color w:val="000000"/>
          <w:spacing w:val="0"/>
          <w:sz w:val="28"/>
          <w:lang w:val="es-ES"/>
        </w:rPr>
        <w:t>Para dar cumplimiento al citado mandato normativo, la SERVICIOS MUNICIPALES DE GRANADILLA ha elaborado su I Plan Anual de Contratación, con el objetivo de conseguir una contratación pública más eficiente y transparente.</w:t>
      </w:r>
    </w:p>
    <w:p>
      <w:pPr>
        <w:pStyle w:val="Normal"/>
        <w:spacing w:lineRule="atLeast" w:line="396" w:before="119" w:after="0"/>
        <w:ind w:hanging="0" w:left="0" w:right="144"/>
        <w:jc w:val="both"/>
        <w:rPr>
          <w:rFonts w:ascii="Trebuchet MS" w:hAnsi="Trebuchet MS"/>
          <w:color w:val="000000"/>
          <w:spacing w:val="0"/>
          <w:sz w:val="28"/>
          <w:lang w:val="es-ES"/>
        </w:rPr>
      </w:pPr>
      <w:r>
        <w:rPr>
          <w:rFonts w:ascii="Trebuchet MS" w:hAnsi="Trebuchet MS"/>
          <w:color w:val="000000"/>
          <w:spacing w:val="0"/>
          <w:sz w:val="28"/>
          <w:lang w:val="es-ES"/>
        </w:rPr>
        <w:t>Este Plan de Contratación constituye el primer paso para alcanzar una contratación pública estratégica en la empresa como instrumento para implementar las políticas públicas en materia social, medioambiental e innovación, y, especialmente, de promoción de la participación de las pequeñas y medianas empresas.</w:t>
      </w:r>
    </w:p>
    <w:p>
      <w:pPr>
        <w:pStyle w:val="Normal"/>
        <w:numPr>
          <w:ilvl w:val="0"/>
          <w:numId w:val="3"/>
        </w:numPr>
        <w:tabs>
          <w:tab w:val="clear" w:pos="709"/>
          <w:tab w:val="left" w:pos="360" w:leader="none"/>
          <w:tab w:val="left" w:pos="720" w:leader="none"/>
        </w:tabs>
        <w:spacing w:lineRule="atLeast" w:line="269" w:before="763" w:after="0"/>
        <w:ind w:hanging="0" w:left="360" w:right="0"/>
        <w:rPr>
          <w:rFonts w:ascii="Trebuchet MS" w:hAnsi="Trebuchet MS"/>
          <w:b/>
          <w:bCs/>
          <w:caps/>
          <w:color w:val="000000"/>
          <w:spacing w:val="5"/>
          <w:sz w:val="28"/>
          <w:lang w:val="es-ES"/>
        </w:rPr>
      </w:pPr>
      <w:r>
        <w:rPr>
          <w:rFonts w:ascii="Trebuchet MS" w:hAnsi="Trebuchet MS"/>
          <w:b/>
          <w:bCs/>
          <w:caps/>
          <w:color w:val="000000"/>
          <w:spacing w:val="5"/>
          <w:sz w:val="28"/>
          <w:lang w:val="es-ES"/>
        </w:rPr>
        <w:t>El órgano comPetente es el Consejo de Administración, como órgano de gobierno</w:t>
      </w:r>
    </w:p>
    <w:p>
      <w:pPr>
        <w:pStyle w:val="Normal"/>
        <w:numPr>
          <w:ilvl w:val="0"/>
          <w:numId w:val="3"/>
        </w:numPr>
        <w:tabs>
          <w:tab w:val="clear" w:pos="709"/>
          <w:tab w:val="left" w:pos="360" w:leader="none"/>
          <w:tab w:val="left" w:pos="720" w:leader="none"/>
        </w:tabs>
        <w:spacing w:lineRule="atLeast" w:line="269" w:before="763" w:after="0"/>
        <w:ind w:hanging="0" w:left="360" w:right="0"/>
        <w:rPr>
          <w:rFonts w:ascii="Trebuchet MS" w:hAnsi="Trebuchet MS"/>
          <w:b/>
          <w:bCs/>
          <w:color w:val="000000"/>
          <w:spacing w:val="5"/>
          <w:sz w:val="28"/>
          <w:lang w:val="es-ES"/>
        </w:rPr>
      </w:pPr>
      <w:r>
        <w:rPr>
          <w:rFonts w:ascii="Trebuchet MS" w:hAnsi="Trebuchet MS"/>
          <w:b/>
          <w:bCs/>
          <w:color w:val="000000"/>
          <w:spacing w:val="5"/>
          <w:sz w:val="28"/>
          <w:lang w:val="es-ES"/>
        </w:rPr>
        <w:t>CONTENIDO</w:t>
      </w:r>
    </w:p>
    <w:p>
      <w:pPr>
        <w:pStyle w:val="Normal"/>
        <w:spacing w:lineRule="atLeast" w:line="396" w:before="121" w:after="0"/>
        <w:ind w:hanging="0" w:left="0" w:right="144"/>
        <w:jc w:val="both"/>
        <w:rPr>
          <w:rFonts w:ascii="Trebuchet MS" w:hAnsi="Trebuchet MS"/>
          <w:color w:val="000000"/>
          <w:spacing w:val="0"/>
          <w:sz w:val="28"/>
          <w:lang w:val="es-ES"/>
        </w:rPr>
      </w:pPr>
      <w:r>
        <w:rPr>
          <w:rFonts w:ascii="Trebuchet MS" w:hAnsi="Trebuchet MS"/>
          <w:color w:val="000000"/>
          <w:spacing w:val="0"/>
          <w:sz w:val="28"/>
          <w:lang w:val="es-ES"/>
        </w:rPr>
        <w:t>El presente Plan de Contratación comprende la información relativa a los contratos de servicios, suministros y obras cuyo anuncio de licitación está previsto licitar durante 2025, con independencia de que la ejecución del respectivo contrato vaya a desarrollarse en el ejercicio  o de forma plurianual, quedando excluidos los contratos menores.</w:t>
      </w:r>
    </w:p>
    <w:p>
      <w:pPr>
        <w:pStyle w:val="Normal"/>
        <w:spacing w:lineRule="atLeast" w:line="396" w:before="116" w:after="3"/>
        <w:ind w:hanging="0" w:left="0" w:right="144"/>
        <w:jc w:val="both"/>
        <w:rPr>
          <w:rFonts w:ascii="Trebuchet MS" w:hAnsi="Trebuchet MS"/>
          <w:color w:val="000000"/>
          <w:spacing w:val="0"/>
          <w:sz w:val="28"/>
          <w:lang w:val="es-ES"/>
        </w:rPr>
      </w:pPr>
      <w:r>
        <w:rPr>
          <w:rFonts w:ascii="Trebuchet MS" w:hAnsi="Trebuchet MS"/>
          <w:color w:val="000000"/>
          <w:spacing w:val="0"/>
          <w:sz w:val="28"/>
          <w:lang w:val="es-ES"/>
        </w:rPr>
        <w:t>Los datos que contiene son estimativos y no vinculantes, no teniendo el Plan carácter taxativo, ya que no agota la totalidad de los contratos que la Sociedad pueda anunciar durante 2025, pudiendo tramitar otros contratos surgidos de nuevas necesidades acaecidas durante el desarrollo del ejercicio presupuestario, así como no licitar todos los contratos incluidos en el Plan en caso de desaparecer la necesidad que los motiva.</w:t>
      </w:r>
    </w:p>
    <w:p>
      <w:pPr>
        <w:pStyle w:val="Normal"/>
        <w:spacing w:lineRule="atLeast" w:line="396" w:before="116" w:after="3"/>
        <w:jc w:val="both"/>
        <w:rPr/>
      </w:pPr>
      <w:r>
        <w:rPr/>
      </w:r>
    </w:p>
    <w:p>
      <w:pPr>
        <w:pStyle w:val="Normal"/>
        <w:numPr>
          <w:ilvl w:val="0"/>
          <w:numId w:val="3"/>
        </w:numPr>
        <w:tabs>
          <w:tab w:val="clear" w:pos="709"/>
          <w:tab w:val="left" w:pos="360" w:leader="none"/>
          <w:tab w:val="left" w:pos="864" w:leader="none"/>
        </w:tabs>
        <w:spacing w:lineRule="atLeast" w:line="272" w:before="53" w:after="0"/>
        <w:ind w:hanging="0" w:left="504" w:right="0"/>
        <w:rPr>
          <w:rFonts w:ascii="Trebuchet MS" w:hAnsi="Trebuchet MS"/>
          <w:b/>
          <w:color w:val="000000"/>
          <w:spacing w:val="-1"/>
          <w:sz w:val="28"/>
          <w:lang w:val="es-ES"/>
        </w:rPr>
      </w:pPr>
      <w:r>
        <w:rPr>
          <w:rFonts w:ascii="Trebuchet MS" w:hAnsi="Trebuchet MS"/>
          <w:b/>
          <w:color w:val="000000"/>
          <w:spacing w:val="-1"/>
          <w:sz w:val="28"/>
          <w:lang w:val="es-ES"/>
        </w:rPr>
        <w:t>TRANSPARENCIA</w:t>
      </w:r>
    </w:p>
    <w:p>
      <w:pPr>
        <w:pStyle w:val="Normal"/>
        <w:spacing w:lineRule="atLeast" w:line="396" w:before="119" w:after="0"/>
        <w:ind w:hanging="0" w:left="144" w:right="0"/>
        <w:jc w:val="both"/>
        <w:rPr/>
      </w:pPr>
      <w:r>
        <w:rPr>
          <w:rFonts w:ascii="Trebuchet MS" w:hAnsi="Trebuchet MS"/>
          <w:b w:val="false"/>
          <w:color w:val="000000"/>
          <w:spacing w:val="0"/>
          <w:sz w:val="28"/>
          <w:lang w:val="es-ES"/>
        </w:rPr>
        <w:t xml:space="preserve">A través del Plan de Contratación no se pretende únicamente lograr una mejor gestión interna de la contratación en la Sociedad; además, el Plan constituye en sí mismo un ejercicio de transparencia de la gestión.En este sentido, el apartado 2 del artículo 6 de la Ley 19/2013, de 9 de diciembre, de transparencia, acceso a la información pública y buen gobierno establece que </w:t>
      </w:r>
      <w:r>
        <w:rPr>
          <w:rFonts w:ascii="Trebuchet MS" w:hAnsi="Trebuchet MS"/>
          <w:b w:val="false"/>
          <w:color w:val="000000"/>
          <w:spacing w:val="0"/>
          <w:sz w:val="30"/>
          <w:lang w:val="es-ES"/>
        </w:rPr>
        <w:t>“</w:t>
      </w:r>
      <w:r>
        <w:rPr>
          <w:rFonts w:ascii="Trebuchet MS" w:hAnsi="Trebuchet MS"/>
          <w:b w:val="false"/>
          <w:color w:val="000000"/>
          <w:spacing w:val="0"/>
          <w:sz w:val="28"/>
          <w:lang w:val="es-ES"/>
        </w:rPr>
        <w:t>las Administraciones Públicas publicarán los planes y programas anuales y plurianuales en los que se fijen objetivos concretos, así como las actividades, medios y tiempo previsto para su consecución</w:t>
      </w:r>
      <w:r>
        <w:rPr>
          <w:rFonts w:ascii="Trebuchet MS" w:hAnsi="Trebuchet MS"/>
          <w:b w:val="false"/>
          <w:color w:val="000000"/>
          <w:spacing w:val="0"/>
          <w:sz w:val="30"/>
          <w:lang w:val="es-ES"/>
        </w:rPr>
        <w:t>”.</w:t>
      </w:r>
    </w:p>
    <w:p>
      <w:pPr>
        <w:pStyle w:val="Normal"/>
        <w:spacing w:lineRule="atLeast" w:line="396" w:before="119" w:after="0"/>
        <w:ind w:hanging="0" w:left="144" w:right="0"/>
        <w:jc w:val="both"/>
        <w:rPr>
          <w:rFonts w:ascii="Trebuchet MS" w:hAnsi="Trebuchet MS"/>
          <w:b w:val="false"/>
          <w:color w:val="000000"/>
          <w:spacing w:val="0"/>
          <w:sz w:val="30"/>
          <w:lang w:val="es-ES"/>
        </w:rPr>
      </w:pPr>
      <w:r>
        <w:rPr>
          <w:rFonts w:ascii="Trebuchet MS" w:hAnsi="Trebuchet MS"/>
          <w:b w:val="false"/>
          <w:color w:val="000000"/>
          <w:spacing w:val="0"/>
          <w:sz w:val="30"/>
          <w:lang w:val="es-ES"/>
        </w:rPr>
        <w:t>Sermugran es auditado por la Comisión de la Transparencia.</w:t>
      </w:r>
    </w:p>
    <w:p>
      <w:pPr>
        <w:pStyle w:val="Normal"/>
        <w:spacing w:lineRule="atLeast" w:line="396" w:before="113" w:after="0"/>
        <w:ind w:hanging="0" w:left="144" w:right="0"/>
        <w:jc w:val="both"/>
        <w:rPr>
          <w:rFonts w:ascii="Trebuchet MS" w:hAnsi="Trebuchet MS"/>
          <w:b w:val="false"/>
          <w:color w:val="000000"/>
          <w:spacing w:val="0"/>
          <w:sz w:val="28"/>
          <w:lang w:val="es-ES"/>
        </w:rPr>
      </w:pPr>
      <w:r>
        <w:rPr>
          <w:rFonts w:ascii="Trebuchet MS" w:hAnsi="Trebuchet MS"/>
          <w:b w:val="false"/>
          <w:color w:val="000000"/>
          <w:spacing w:val="0"/>
          <w:sz w:val="28"/>
          <w:lang w:val="es-ES"/>
        </w:rPr>
        <w:t>El Plan de Contratación tiene por objeto potenciar la transparencia, persiguiendo dar a conocer a los operadores económicos, con suficiente antelación, cuáles van a ser las necesidades que se pretenden atender mediante los contratos proyectados, para que así puedan preparar con tiempo sus ofertas y permitiendo un mayor control sobre la actividad contractual de la Sociedad</w:t>
      </w:r>
    </w:p>
    <w:p>
      <w:pPr>
        <w:pStyle w:val="Normal"/>
        <w:spacing w:lineRule="atLeast" w:line="396" w:before="120" w:after="0"/>
        <w:ind w:hanging="0" w:left="144" w:right="0"/>
        <w:jc w:val="both"/>
        <w:rPr>
          <w:rFonts w:ascii="Trebuchet MS" w:hAnsi="Trebuchet MS"/>
          <w:b w:val="false"/>
          <w:color w:val="000000"/>
          <w:spacing w:val="0"/>
          <w:sz w:val="28"/>
          <w:lang w:val="es-ES"/>
        </w:rPr>
      </w:pPr>
      <w:r>
        <w:rPr>
          <w:rFonts w:ascii="Trebuchet MS" w:hAnsi="Trebuchet MS"/>
          <w:b w:val="false"/>
          <w:color w:val="000000"/>
          <w:spacing w:val="0"/>
          <w:sz w:val="28"/>
          <w:lang w:val="es-ES"/>
        </w:rPr>
        <w:t>A través de este ejercicio de transparencia se posibilita además una mayor concurrencia, contribuyendo a la igualdad de trato y no discriminación y garantizándose el principio de integridad, consiguiendo, además, un uso más eficiente de los recursos públicos.</w:t>
      </w:r>
    </w:p>
    <w:p>
      <w:pPr>
        <w:pStyle w:val="Normal"/>
        <w:spacing w:lineRule="atLeast" w:line="396" w:before="116" w:after="0"/>
        <w:ind w:hanging="0" w:left="144" w:right="0"/>
        <w:jc w:val="both"/>
        <w:rPr>
          <w:rFonts w:ascii="Trebuchet MS" w:hAnsi="Trebuchet MS"/>
          <w:b w:val="false"/>
          <w:color w:val="000000"/>
          <w:spacing w:val="0"/>
          <w:sz w:val="28"/>
          <w:lang w:val="es-ES"/>
        </w:rPr>
      </w:pPr>
      <w:r>
        <w:rPr>
          <w:rFonts w:ascii="Trebuchet MS" w:hAnsi="Trebuchet MS"/>
          <w:b w:val="false"/>
          <w:color w:val="000000"/>
          <w:spacing w:val="0"/>
          <w:sz w:val="28"/>
          <w:lang w:val="es-ES"/>
        </w:rPr>
        <w:t>El Plan será objeto de publicación en formato reutilizable para facilitar su consulta.</w:t>
      </w:r>
    </w:p>
    <w:p>
      <w:pPr>
        <w:pStyle w:val="Normal"/>
        <w:numPr>
          <w:ilvl w:val="0"/>
          <w:numId w:val="3"/>
        </w:numPr>
        <w:tabs>
          <w:tab w:val="clear" w:pos="709"/>
          <w:tab w:val="left" w:pos="360" w:leader="none"/>
          <w:tab w:val="left" w:pos="864" w:leader="none"/>
        </w:tabs>
        <w:spacing w:lineRule="atLeast" w:line="321" w:before="714" w:after="111"/>
        <w:ind w:hanging="0" w:left="504" w:right="0"/>
        <w:rPr>
          <w:rFonts w:ascii="Trebuchet MS" w:hAnsi="Trebuchet MS"/>
          <w:b/>
          <w:color w:val="000000"/>
          <w:spacing w:val="-2"/>
          <w:sz w:val="28"/>
          <w:lang w:val="es-ES"/>
        </w:rPr>
      </w:pPr>
      <w:r>
        <w:rPr>
          <w:rFonts w:ascii="Trebuchet MS" w:hAnsi="Trebuchet MS"/>
          <w:b/>
          <w:color w:val="000000"/>
          <w:spacing w:val="-2"/>
          <w:sz w:val="28"/>
          <w:lang w:val="es-ES"/>
        </w:rPr>
        <w:t>GRANADILLA SOSTENIBLE</w:t>
      </w:r>
    </w:p>
    <w:p>
      <w:pPr>
        <w:pStyle w:val="Normal"/>
        <w:widowControl w:val="false"/>
        <w:tabs>
          <w:tab w:val="clear" w:pos="709"/>
        </w:tabs>
        <w:spacing w:lineRule="atLeast" w:line="368"/>
        <w:ind w:hanging="0" w:left="72" w:right="0"/>
        <w:jc w:val="both"/>
        <w:rPr>
          <w:rFonts w:ascii="Trebuchet MS" w:hAnsi="Trebuchet MS"/>
          <w:b w:val="false"/>
          <w:color w:val="000000"/>
          <w:spacing w:val="-2"/>
          <w:sz w:val="28"/>
          <w:lang w:val="es-ES"/>
        </w:rPr>
      </w:pPr>
      <w:r>
        <w:rPr>
          <w:rFonts w:ascii="Trebuchet MS" w:hAnsi="Trebuchet MS"/>
          <w:b w:val="false"/>
          <w:color w:val="000000"/>
          <w:spacing w:val="-2"/>
          <w:sz w:val="28"/>
          <w:lang w:val="es-ES"/>
        </w:rPr>
        <w:t>La aprobación del Plan Anual de Contratación contribuye a la consecución de objetivos y metas de la Agenda 2030, especialmente al logro de la meta 16.6 que persigue crear a todos los niveles instituciones eficaces y transparentes que rindan cuentas.</w:t>
      </w:r>
    </w:p>
    <w:p>
      <w:pPr>
        <w:pStyle w:val="Normal"/>
        <w:widowControl w:val="false"/>
        <w:tabs>
          <w:tab w:val="clear" w:pos="709"/>
        </w:tabs>
        <w:spacing w:lineRule="atLeast" w:line="396" w:before="121" w:after="38"/>
        <w:ind w:hanging="0" w:left="72" w:right="0"/>
        <w:jc w:val="both"/>
        <w:rPr/>
      </w:pPr>
      <w:r>
        <w:rPr>
          <w:rFonts w:ascii="Trebuchet MS" w:hAnsi="Trebuchet MS"/>
          <w:b w:val="false"/>
          <w:color w:val="000000"/>
          <w:spacing w:val="0"/>
          <w:sz w:val="28"/>
          <w:lang w:val="es-ES"/>
        </w:rPr>
        <w:t xml:space="preserve">Además, la actividad contractual de la empresa contribuye de manera efectiva al crecimiento económico perseguido a través del </w:t>
      </w:r>
      <w:r>
        <w:rPr>
          <w:rFonts w:ascii="Trebuchet MS" w:hAnsi="Trebuchet MS"/>
          <w:color w:val="000000"/>
          <w:sz w:val="28"/>
        </w:rPr>
        <w:t xml:space="preserve">ODS 8, y la puesta en práctica de las herramientas que la Ley de Contratos del Sector Público prevé para el fomento de la participación de las Pymes en la contratación pública, contribuye </w:t>
      </w:r>
      <w:r>
        <w:rPr>
          <w:rFonts w:ascii="Trebuchet MS" w:hAnsi="Trebuchet MS"/>
          <w:b w:val="false"/>
          <w:color w:val="000000"/>
          <w:spacing w:val="0"/>
          <w:sz w:val="28"/>
          <w:lang w:val="es-ES"/>
        </w:rPr>
        <w:t>de manera decisiva al logro de las metas 8.3, Fomento de pequeña y mediana empresa y 8.4, mejora de la producción y consumo eficiente respetuoso.</w:t>
      </w:r>
    </w:p>
    <w:p>
      <w:pPr>
        <w:pStyle w:val="Normal"/>
        <w:spacing w:lineRule="atLeast" w:line="396" w:before="120" w:after="0"/>
        <w:jc w:val="both"/>
        <w:rPr>
          <w:rFonts w:ascii="Trebuchet MS" w:hAnsi="Trebuchet MS"/>
          <w:b w:val="false"/>
          <w:color w:val="000000"/>
          <w:spacing w:val="0"/>
          <w:sz w:val="28"/>
          <w:lang w:val="es-ES"/>
        </w:rPr>
      </w:pPr>
      <w:r>
        <w:rPr>
          <w:rFonts w:ascii="Trebuchet MS" w:hAnsi="Trebuchet MS"/>
          <w:b w:val="false"/>
          <w:color w:val="000000"/>
          <w:spacing w:val="0"/>
          <w:sz w:val="28"/>
          <w:lang w:val="es-ES"/>
        </w:rPr>
        <w:t>Asimismo, se contribuye a garantizar modalidades de consumo y producción sostenibles, previstos en el ODS 12, debiendo orientar la Sociedad su contratación pública hacia el logro de la meta 12.7 promoviendo prácticas de adquisición sostenibles.</w:t>
      </w:r>
    </w:p>
    <w:p>
      <w:pPr>
        <w:pStyle w:val="Normal"/>
        <w:spacing w:lineRule="atLeast" w:line="396" w:before="115" w:after="0"/>
        <w:jc w:val="both"/>
        <w:rPr>
          <w:rFonts w:ascii="Trebuchet MS" w:hAnsi="Trebuchet MS"/>
          <w:b w:val="false"/>
          <w:color w:val="000000"/>
          <w:spacing w:val="3"/>
          <w:sz w:val="28"/>
          <w:lang w:val="es-ES"/>
        </w:rPr>
      </w:pPr>
      <w:r>
        <w:rPr>
          <w:rFonts w:ascii="Trebuchet MS" w:hAnsi="Trebuchet MS"/>
          <w:b w:val="false"/>
          <w:color w:val="000000"/>
          <w:spacing w:val="3"/>
          <w:sz w:val="28"/>
          <w:lang w:val="es-ES"/>
        </w:rPr>
        <w:t>Este I Plan Anual de Contratación de la SERVICIOS MUNICIPALES DE GRANADILLA es fruto del trabajo conjunto y coordinado entre la Dirección de Servicios Administrativos y Contratación y todos los servicios y unidades gestoras de la Sociedad, con el objetivo de conseguir una contratación pública en la Sociedad más ágil, eficaz y transparente, y pretende convertirse en un documento útil tanto como herramienta interna de trabajo que posibilite una mejor preparación de los expedientes y permita una mejor organización y funcionamiento de los servicios, como para los operadores económicos, al permitirles conocer con antelación los contratos que la institución pretende licitar a lo largo del ejercicio.</w:t>
      </w:r>
    </w:p>
    <w:p>
      <w:pPr>
        <w:pStyle w:val="Normal"/>
        <w:spacing w:lineRule="atLeast" w:line="396" w:before="123" w:after="281"/>
        <w:ind w:hanging="0" w:left="0" w:right="144"/>
        <w:jc w:val="both"/>
        <w:rPr/>
      </w:pPr>
      <w:r>
        <w:rPr>
          <w:rFonts w:ascii="Trebuchet MS" w:hAnsi="Trebuchet MS"/>
          <w:b w:val="false"/>
          <w:color w:val="000000"/>
          <w:spacing w:val="-1"/>
          <w:sz w:val="28"/>
          <w:lang w:val="es-ES"/>
        </w:rPr>
        <w:t>El presente Plan Anual de Contratación de la SERVICIOS MUNICIPALES DE GRANADILLA para el año 2025 contempla un total de 16 contratos y una previsión de valor estimado de</w:t>
      </w:r>
      <w:r>
        <w:rPr>
          <w:rFonts w:eastAsia="NSimSun" w:cs="Arial" w:ascii="Trebuchet MS" w:hAnsi="Trebuchet MS"/>
          <w:b w:val="false"/>
          <w:color w:val="000000"/>
          <w:spacing w:val="-1"/>
          <w:kern w:val="2"/>
          <w:sz w:val="28"/>
          <w:szCs w:val="24"/>
          <w:lang w:val="es-ES" w:eastAsia="zh-CN" w:bidi="hi-IN"/>
        </w:rPr>
        <w:t xml:space="preserve"> </w:t>
      </w:r>
      <w:r>
        <w:rPr>
          <w:rFonts w:eastAsia="NSimSun" w:cs="Arial" w:ascii="Trebuchet MS" w:hAnsi="Trebuchet MS"/>
          <w:b w:val="false"/>
          <w:color w:val="000000"/>
          <w:spacing w:val="-1"/>
          <w:kern w:val="2"/>
          <w:sz w:val="28"/>
          <w:szCs w:val="24"/>
          <w:lang w:val="es-ES" w:eastAsia="zh-CN" w:bidi="hi-IN"/>
        </w:rPr>
        <w:t>1.380.000</w:t>
      </w:r>
      <w:r>
        <w:rPr>
          <w:rFonts w:eastAsia="NSimSun" w:cs="Arial" w:ascii="Trebuchet MS" w:hAnsi="Trebuchet MS"/>
          <w:b w:val="false"/>
          <w:color w:val="000000"/>
          <w:spacing w:val="-1"/>
          <w:kern w:val="2"/>
          <w:sz w:val="28"/>
          <w:szCs w:val="24"/>
          <w:lang w:val="es-ES" w:eastAsia="zh-CN" w:bidi="hi-IN"/>
        </w:rPr>
        <w:t xml:space="preserve"> </w:t>
      </w:r>
      <w:r>
        <w:rPr>
          <w:rFonts w:ascii="Trebuchet MS" w:hAnsi="Trebuchet MS"/>
          <w:b w:val="false"/>
          <w:color w:val="000000"/>
          <w:spacing w:val="-1"/>
          <w:sz w:val="28"/>
          <w:lang w:val="es-ES"/>
        </w:rPr>
        <w:t>euros, conforme al siguiente desglose:</w:t>
      </w:r>
    </w:p>
    <w:p>
      <w:pPr>
        <w:pStyle w:val="Normal"/>
        <w:rPr>
          <w:rFonts w:ascii="Arial" w:hAnsi="Arial" w:cs="Verdana"/>
          <w:b w:val="false"/>
          <w:bCs w:val="false"/>
          <w:sz w:val="24"/>
          <w:szCs w:val="24"/>
          <w:lang w:val="es-ES_tradnl"/>
        </w:rPr>
      </w:pPr>
      <w:r>
        <w:rPr>
          <w:rFonts w:cs="Verdana" w:ascii="Arial" w:hAnsi="Arial"/>
          <w:b w:val="false"/>
          <w:bCs w:val="false"/>
          <w:sz w:val="24"/>
          <w:szCs w:val="24"/>
          <w:lang w:val="es-ES_tradnl"/>
        </w:rPr>
        <w:object w:dxaOrig="13225" w:dyaOrig="3628">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1.6pt;margin-top:13.85pt;width:575.85pt;height:152.35pt;mso-wrap-distance-right:0pt;mso-position-horizontal-relative:text;mso-position-vertical-relative:text" filled="f" o:ole="">
            <v:imagedata r:id="rId3" o:title=""/>
            <w10:wrap type="square"/>
          </v:shape>
          <o:OLEObject Type="Embed" ProgID="Excel.Sheet.12" ShapeID="ole_rId2" DrawAspect="Content" ObjectID="_455776446" r:id="rId2"/>
        </w:object>
      </w:r>
    </w:p>
    <w:p>
      <w:pPr>
        <w:pStyle w:val="Normal"/>
        <w:rPr>
          <w:rFonts w:ascii="Arial" w:hAnsi="Arial" w:cs="Verdana"/>
          <w:b w:val="false"/>
          <w:bCs w:val="false"/>
          <w:sz w:val="24"/>
          <w:szCs w:val="24"/>
          <w:lang w:val="es-ES_tradnl"/>
        </w:rPr>
      </w:pPr>
      <w:r>
        <w:rPr>
          <w:rFonts w:cs="Verdana" w:ascii="Arial" w:hAnsi="Arial"/>
          <w:b w:val="false"/>
          <w:bCs w:val="false"/>
          <w:sz w:val="24"/>
          <w:szCs w:val="24"/>
          <w:lang w:val="es-ES_tradnl"/>
        </w:rPr>
      </w:r>
    </w:p>
    <w:sectPr>
      <w:headerReference w:type="default" r:id="rId4"/>
      <w:footerReference w:type="default" r:id="rId5"/>
      <w:type w:val="nextPage"/>
      <w:pgSz w:w="11906" w:h="16838"/>
      <w:pgMar w:left="1134" w:right="1134" w:gutter="0" w:header="715" w:top="2148" w:footer="1134" w:bottom="259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enter" w:pos="0" w:leader="none"/>
      </w:tabs>
      <w:jc w:val="both"/>
      <w:rPr/>
    </w:pPr>
    <w:r>
      <w:rPr>
        <w:i w:val="false"/>
        <w:iCs w:val="false"/>
        <w:sz w:val="30"/>
        <w:szCs w:val="30"/>
      </w:rPr>
      <w:t xml:space="preserve">Revisión: </w:t>
    </w:r>
    <w:r>
      <w:rPr>
        <w:rFonts w:eastAsia="NSimSun" w:cs="Arial" w:ascii="Liberation Serif;Times New Roman" w:hAnsi="Liberation Serif;Times New Roman"/>
        <w:i w:val="false"/>
        <w:iCs w:val="false"/>
        <w:color w:val="auto"/>
        <w:kern w:val="2"/>
        <w:sz w:val="30"/>
        <w:szCs w:val="30"/>
        <w:lang w:val="es-ES" w:eastAsia="zh-CN" w:bidi="hi-IN"/>
      </w:rPr>
      <w:t>anual</w:t>
    </w:r>
    <w:r>
      <w:rPr>
        <w:rFonts w:eastAsia="NSimSun" w:cs="Arial"/>
        <w:i w:val="false"/>
        <w:iCs w:val="false"/>
        <w:color w:val="auto"/>
        <w:kern w:val="2"/>
        <w:sz w:val="30"/>
        <w:szCs w:val="30"/>
        <w:lang w:val="es-ES" w:eastAsia="zh-CN" w:bidi="hi-IN"/>
      </w:rPr>
      <w:t xml:space="preserve">    Fecha de aprobación: </w:t>
    </w:r>
    <w:r>
      <w:rPr>
        <w:rFonts w:eastAsia="NSimSun" w:cs="Arial"/>
        <w:i w:val="false"/>
        <w:iCs w:val="false"/>
        <w:color w:val="auto"/>
        <w:kern w:val="2"/>
        <w:sz w:val="30"/>
        <w:szCs w:val="30"/>
        <w:lang w:val="es-ES" w:eastAsia="zh-CN" w:bidi="hi-IN"/>
      </w:rPr>
      <w:t>28</w:t>
    </w:r>
    <w:r>
      <w:rPr>
        <w:rFonts w:eastAsia="NSimSun" w:cs="Arial" w:ascii="Liberation Serif;Times New Roman" w:hAnsi="Liberation Serif;Times New Roman"/>
        <w:i w:val="false"/>
        <w:iCs w:val="false"/>
        <w:color w:val="auto"/>
        <w:kern w:val="2"/>
        <w:sz w:val="30"/>
        <w:szCs w:val="30"/>
        <w:lang w:val="es-ES" w:eastAsia="zh-CN" w:bidi="hi-IN"/>
      </w:rPr>
      <w:t xml:space="preserve"> de enero de 202</w:t>
    </w:r>
    <w:r>
      <w:rPr>
        <w:rFonts w:eastAsia="NSimSun" w:cs="Arial" w:ascii="Liberation Serif;Times New Roman" w:hAnsi="Liberation Serif;Times New Roman"/>
        <w:i w:val="false"/>
        <w:iCs w:val="false"/>
        <w:color w:val="auto"/>
        <w:kern w:val="2"/>
        <w:sz w:val="30"/>
        <w:szCs w:val="30"/>
        <w:lang w:val="es-ES" w:eastAsia="zh-CN" w:bidi="hi-IN"/>
      </w:rPr>
      <w:t>5</w:t>
    </w:r>
  </w:p>
  <w:p>
    <w:pPr>
      <w:pStyle w:val="Header"/>
      <w:tabs>
        <w:tab w:val="clear" w:pos="4819"/>
        <w:tab w:val="center" w:pos="0" w:leader="none"/>
      </w:tabs>
      <w:jc w:val="both"/>
      <w:rPr>
        <w:rFonts w:ascii="Liberation Serif;Times New Roman" w:hAnsi="Liberation Serif;Times New Roman" w:eastAsia="NSimSun" w:cs="Arial"/>
        <w:i w:val="false"/>
        <w:iCs w:val="false"/>
        <w:color w:val="auto"/>
        <w:kern w:val="2"/>
        <w:sz w:val="30"/>
        <w:szCs w:val="30"/>
        <w:lang w:val="es-ES" w:eastAsia="zh-CN" w:bidi="hi-IN"/>
      </w:rPr>
    </w:pPr>
    <w:r>
      <w:rPr>
        <w:rFonts w:eastAsia="NSimSun" w:cs="Arial" w:ascii="Liberation Serif;Times New Roman" w:hAnsi="Liberation Serif;Times New Roman"/>
        <w:i w:val="false"/>
        <w:iCs w:val="false"/>
        <w:color w:val="auto"/>
        <w:kern w:val="2"/>
        <w:sz w:val="30"/>
        <w:szCs w:val="30"/>
        <w:lang w:val="es-ES" w:eastAsia="zh-CN" w:bidi="hi-IN"/>
      </w:rPr>
    </w:r>
  </w:p>
  <w:p>
    <w:pPr>
      <w:pStyle w:val="Header"/>
      <w:tabs>
        <w:tab w:val="clear" w:pos="4819"/>
        <w:tab w:val="center" w:pos="0" w:leader="none"/>
      </w:tabs>
      <w:jc w:val="both"/>
      <w:rPr>
        <w:i w:val="false"/>
        <w:iCs w:val="false"/>
        <w:sz w:val="30"/>
        <w:szCs w:val="30"/>
        <w:lang w:val="es-ES" w:eastAsia="es-ES"/>
      </w:rPr>
    </w:pPr>
    <w:r>
      <w:rPr>
        <w:i w:val="false"/>
        <w:iCs w:val="false"/>
        <w:sz w:val="30"/>
        <w:szCs w:val="30"/>
        <w:lang w:val="es-ES" w:eastAsia="es-ES"/>
      </w:rPr>
      <w:t>CONTRATACIÓN 01-22</w:t>
    </w:r>
  </w:p>
  <w:p>
    <w:pPr>
      <w:pStyle w:val="Footer"/>
      <w:rPr>
        <w:sz w:val="14"/>
        <w:szCs w:val="14"/>
        <w:lang w:val="es-ES" w:eastAsia="es-ES"/>
      </w:rPr>
    </w:pPr>
    <w:r>
      <w:rPr>
        <w:sz w:val="14"/>
        <w:szCs w:val="14"/>
        <w:lang w:val="es-ES" w:eastAsia="es-ES"/>
      </w:rPr>
    </w:r>
  </w:p>
  <w:p>
    <w:pPr>
      <w:pStyle w:val="Footer"/>
      <w:rPr>
        <w:sz w:val="14"/>
        <w:szCs w:val="14"/>
        <w:lang w:val="es-ES" w:eastAsia="es-ES"/>
      </w:rPr>
    </w:pPr>
    <w:r>
      <w:drawing>
        <wp:anchor distT="0" distB="0" distL="0" distR="0" simplePos="0" relativeHeight="9" behindDoc="1" locked="0" layoutInCell="0" allowOverlap="1">
          <wp:simplePos x="0" y="0"/>
          <wp:positionH relativeFrom="column">
            <wp:posOffset>5487670</wp:posOffset>
          </wp:positionH>
          <wp:positionV relativeFrom="paragraph">
            <wp:posOffset>-161925</wp:posOffset>
          </wp:positionV>
          <wp:extent cx="551815" cy="570865"/>
          <wp:effectExtent l="0" t="0" r="0" b="0"/>
          <wp:wrapSquare wrapText="largest"/>
          <wp:docPr id="3" name="Imagen2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Copia 1 Copia 1"/>
                  <pic:cNvPicPr>
                    <a:picLocks noChangeAspect="1" noChangeArrowheads="1"/>
                  </pic:cNvPicPr>
                </pic:nvPicPr>
                <pic:blipFill>
                  <a:blip r:embed="rId1"/>
                  <a:stretch>
                    <a:fillRect/>
                  </a:stretch>
                </pic:blipFill>
                <pic:spPr bwMode="auto">
                  <a:xfrm>
                    <a:off x="0" y="0"/>
                    <a:ext cx="551815" cy="570865"/>
                  </a:xfrm>
                  <a:prstGeom prst="rect">
                    <a:avLst/>
                  </a:prstGeom>
                  <a:noFill/>
                </pic:spPr>
              </pic:pic>
            </a:graphicData>
          </a:graphic>
        </wp:anchor>
      </w:drawing>
    </w:r>
    <w:r>
      <w:rPr>
        <w:sz w:val="14"/>
        <w:szCs w:val="14"/>
        <w:lang w:val="es-ES" w:eastAsia="es-ES"/>
      </w:rPr>
      <w:t>Centro Empresarial Granadilla de Abona (CEGA) Parcela Z2 y Z3. Sector SP2-02 del Poligono Industrial de Granadilla. 38619. Granadilla de Abona</w:t>
    </w:r>
  </w:p>
  <w:p>
    <w:pPr>
      <w:pStyle w:val="Footer"/>
      <w:rPr>
        <w:sz w:val="14"/>
        <w:szCs w:val="14"/>
        <w:lang w:val="es-ES" w:eastAsia="es-ES"/>
      </w:rPr>
    </w:pPr>
    <w:r>
      <w:rPr>
        <w:sz w:val="14"/>
        <w:szCs w:val="14"/>
        <w:lang w:val="es-ES"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5" behindDoc="1" locked="0" layoutInCell="0" allowOverlap="1">
          <wp:simplePos x="0" y="0"/>
          <wp:positionH relativeFrom="column">
            <wp:posOffset>-21590</wp:posOffset>
          </wp:positionH>
          <wp:positionV relativeFrom="paragraph">
            <wp:posOffset>78740</wp:posOffset>
          </wp:positionV>
          <wp:extent cx="2360930" cy="540385"/>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rcRect l="0" t="22311" r="0" b="22779"/>
                  <a:stretch>
                    <a:fillRect/>
                  </a:stretch>
                </pic:blipFill>
                <pic:spPr bwMode="auto">
                  <a:xfrm>
                    <a:off x="0" y="0"/>
                    <a:ext cx="2360930" cy="54038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decimal"/>
      <w:lvlText w:val="%1."/>
      <w:lvlJc w:val="left"/>
      <w:pPr>
        <w:tabs>
          <w:tab w:val="num" w:pos="0"/>
        </w:tabs>
        <w:ind w:left="0" w:hanging="0"/>
      </w:pPr>
      <w:rPr>
        <w:rFonts w:ascii="Trebuchet MS" w:hAnsi="Trebuchet M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0"/>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NSimSun" w:cs="Arial"/>
      <w:color w:val="auto"/>
      <w:kern w:val="2"/>
      <w:sz w:val="24"/>
      <w:szCs w:val="24"/>
      <w:lang w:val="es-ES" w:eastAsia="zh-CN" w:bidi="hi-IN"/>
    </w:rPr>
  </w:style>
  <w:style w:type="paragraph" w:styleId="Heading2">
    <w:name w:val="heading 2"/>
    <w:basedOn w:val="Ttulo"/>
    <w:next w:val="BodyText"/>
    <w:qFormat/>
    <w:pPr>
      <w:numPr>
        <w:ilvl w:val="1"/>
        <w:numId w:val="2"/>
      </w:numPr>
      <w:spacing w:before="200" w:after="120"/>
      <w:outlineLvl w:val="1"/>
    </w:pPr>
    <w:rPr>
      <w:b/>
      <w:bCs/>
      <w:sz w:val="32"/>
      <w:szCs w:val="32"/>
    </w:rPr>
  </w:style>
  <w:style w:type="character" w:styleId="Caracteresdenotafinaluser">
    <w:name w:val="Caracteres de nota final (user)"/>
    <w:qFormat/>
    <w:rPr>
      <w:vertAlign w:val="superscript"/>
    </w:rPr>
  </w:style>
  <w:style w:type="character" w:styleId="Caracteresdenotafinal">
    <w:name w:val="Caracteres de nota final"/>
    <w:qFormat/>
    <w:rPr>
      <w:vertAlign w:val="superscript"/>
    </w:rPr>
  </w:style>
  <w:style w:type="character" w:styleId="EndnoteReference">
    <w:name w:val="endnote reference"/>
    <w:rPr>
      <w:vertAlign w:val="superscript"/>
    </w:rPr>
  </w:style>
  <w:style w:type="character" w:styleId="Smbolosdenumeracinuser">
    <w:name w:val="Símbolos de numeración (us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beceraypieuser">
    <w:name w:val="Cabecera y pie (user)"/>
    <w:basedOn w:val="Normal"/>
    <w:qFormat/>
    <w:pPr/>
    <w:rPr/>
  </w:style>
  <w:style w:type="paragraph" w:styleId="Header">
    <w:name w:val="header"/>
    <w:basedOn w:val="Cabeceraypie"/>
    <w:pPr>
      <w:suppressLineNumbers/>
    </w:pPr>
    <w:rPr/>
  </w:style>
  <w:style w:type="paragraph" w:styleId="EndnoteText">
    <w:name w:val="endnote text"/>
    <w:basedOn w:val="Normal"/>
    <w:pPr>
      <w:suppressLineNumbers/>
      <w:ind w:hanging="339" w:left="339" w:right="0"/>
    </w:pPr>
    <w:rPr>
      <w:sz w:val="20"/>
      <w:szCs w:val="20"/>
    </w:rPr>
  </w:style>
  <w:style w:type="paragraph" w:styleId="Footer">
    <w:name w:val="footer"/>
    <w:basedOn w:val="Cabeceraypie"/>
    <w:pPr>
      <w:suppressLineNumbers/>
    </w:pPr>
    <w:rPr/>
  </w:style>
  <w:style w:type="paragraph" w:styleId="Contenidodelatabla">
    <w:name w:val="Contenido de la tabla"/>
    <w:basedOn w:val="Normal"/>
    <w:qFormat/>
    <w:pPr>
      <w:widowControl w:val="false"/>
      <w:suppressLineNumbers/>
    </w:pPr>
    <w:rPr/>
  </w:style>
  <w:style w:type="paragraph" w:styleId="Contenidodelmarcouser">
    <w:name w:val="Contenido del marco (user)"/>
    <w:basedOn w:val="Normal"/>
    <w:qFormat/>
    <w:pPr/>
    <w:rPr/>
  </w:style>
  <w:style w:type="paragraph" w:styleId="Contenidodelmarco">
    <w:name w:val="Contenido del marc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4789</TotalTime>
  <Application>LibreOffice/26.2.4.2$Windows_X86_64 LibreOffice_project/0229ac93fcf0d7cbc6376066c6f35021cef002dc</Application>
  <AppVersion>15.0000</AppVersion>
  <Pages>4</Pages>
  <Words>877</Words>
  <Characters>4900</Characters>
  <CharactersWithSpaces>5751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2021-03-12T12:53:09Z</dcterms:created>
  <dc:creator/>
  <dc:description/>
  <dc:language>es-ES</dc:language>
  <cp:lastModifiedBy/>
  <cp:lastPrinted>2026-06-26T12:59:15Z</cp:lastPrinted>
  <dcterms:modified xsi:type="dcterms:W3CDTF">2026-06-26T13:00:21Z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