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star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57150</wp:posOffset>
            </wp:positionH>
            <wp:positionV relativeFrom="paragraph">
              <wp:posOffset>156845</wp:posOffset>
            </wp:positionV>
            <wp:extent cx="3211195" cy="81978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0038" r="0" b="3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BodyText"/>
        <w:numPr>
          <w:ilvl w:val="0"/>
          <w:numId w:val="1"/>
        </w:numPr>
        <w:jc w:val="start"/>
        <w:rPr>
          <w:rFonts w:ascii="Calibri" w:hAnsi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En la actualidad existen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convenios vigentes:</w:t>
      </w:r>
    </w:p>
    <w:p>
      <w:pPr>
        <w:pStyle w:val="BodyText"/>
        <w:widowControl/>
        <w:numPr>
          <w:ilvl w:val="1"/>
          <w:numId w:val="5"/>
        </w:numPr>
        <w:tabs>
          <w:tab w:val="clear" w:pos="720"/>
          <w:tab w:val="left" w:pos="0" w:leader="none"/>
        </w:tabs>
        <w:spacing w:before="0" w:after="0"/>
        <w:ind w:hanging="0" w:start="675" w:end="0"/>
        <w:jc w:val="start"/>
        <w:rPr/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Con </w:t>
      </w:r>
      <w:hyperlink r:id="rId3" w:tgtFrame="_blank">
        <w:r>
          <w:rPr>
            <w:rStyle w:val="Style9"/>
            <w:rFonts w:ascii="inherit" w:hAnsi="inherit"/>
            <w:b/>
            <w:bCs/>
            <w:i w:val="false"/>
            <w:caps w:val="false"/>
            <w:smallCaps w:val="false"/>
            <w:strike w:val="false"/>
            <w:dstrike w:val="false"/>
            <w:color w:val="333333"/>
            <w:spacing w:val="0"/>
            <w:sz w:val="21"/>
            <w:u w:val="none"/>
            <w:effect w:val="none"/>
            <w:shd w:fill="auto" w:val="clear"/>
            <w:lang w:val="zxx" w:eastAsia="zxx" w:bidi="zxx"/>
          </w:rPr>
          <w:t>Gestión Local y Autonómica de Ecoembalajes España, S.A. (ECOEMBES)</w:t>
        </w:r>
      </w:hyperlink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.</w:t>
        <w:br/>
        <w:t>– Convenio de colaboración empresarial en actividades de interés general que suscriben ECOEMBES y Servicios Municipales de Granadilla de Abona S.L (SERMUGRAN).</w:t>
        <w:br/>
        <w:t>– El presente convenio tiene por objeto la puesta en marca de un proyecto destinado a la mejora de la recogida selectiva de envases ligeros mediante el fomento de la participación del sector de la hostelería, restauración y catering.</w:t>
        <w:br/>
        <w:t>– Con una duración de un año, prorrogable anualmente, desde la fecha de su firma.</w:t>
      </w:r>
    </w:p>
    <w:p>
      <w:pPr>
        <w:pStyle w:val="BodyText"/>
        <w:widowControl/>
        <w:numPr>
          <w:ilvl w:val="1"/>
          <w:numId w:val="6"/>
        </w:numPr>
        <w:tabs>
          <w:tab w:val="clear" w:pos="720"/>
          <w:tab w:val="left" w:pos="0" w:leader="none"/>
        </w:tabs>
        <w:spacing w:before="0" w:after="0"/>
        <w:ind w:hanging="0" w:start="675" w:end="0"/>
        <w:jc w:val="start"/>
        <w:rPr/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Con el </w:t>
      </w:r>
      <w:hyperlink r:id="rId4" w:tgtFrame="_blank">
        <w:r>
          <w:rPr>
            <w:rStyle w:val="Style9"/>
            <w:rFonts w:ascii="inherit" w:hAnsi="inherit"/>
            <w:b/>
            <w:bCs/>
            <w:i w:val="false"/>
            <w:caps w:val="false"/>
            <w:smallCaps w:val="false"/>
            <w:strike w:val="false"/>
            <w:dstrike w:val="false"/>
            <w:color w:val="333333"/>
            <w:spacing w:val="0"/>
            <w:sz w:val="21"/>
            <w:u w:val="none"/>
            <w:effect w:val="none"/>
            <w:shd w:fill="auto" w:val="clear"/>
            <w:lang w:val="zxx" w:eastAsia="zxx" w:bidi="zxx"/>
          </w:rPr>
          <w:t>Instituto Tecnológico y de Energías Renovables, S.A (ITER)</w:t>
        </w:r>
      </w:hyperlink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.</w:t>
        <w:br/>
        <w:t>– Convenio de colaboración empresarial en actividades de interés general que suscriben ITER y Servicios Municipales de Granadilla de Abona S.L (SERMUGRAN).</w:t>
        <w:br/>
        <w:t>– El presente convenio tiene por objeto la implantación de los servicios de recogida de residuos solidos urbanos y el impulso de la implantación de energias renovables en el Centro Empresarial Granadilla de Abona (CEGA).</w:t>
        <w:br/>
        <w:t>– Con una duración de un año, prorrogable anualmente, desde la fecha de su firma.</w:t>
      </w:r>
    </w:p>
    <w:p>
      <w:pPr>
        <w:pStyle w:val="Normal"/>
        <w:numPr>
          <w:ilvl w:val="0"/>
          <w:numId w:val="0"/>
        </w:numPr>
        <w:ind w:hanging="0" w:start="720"/>
        <w:jc w:val="start"/>
        <w:rPr>
          <w:rFonts w:ascii="Calibri" w:hAnsi="Calibri" w:cs="Calibri"/>
          <w:b w:val="false"/>
          <w:bCs w:val="false"/>
          <w:sz w:val="28"/>
          <w:szCs w:val="28"/>
        </w:rPr>
      </w:pPr>
      <w:r>
        <w:rPr>
          <w:rFonts w:cs="Calibri" w:ascii="Calibri" w:hAnsi="Calibri"/>
          <w:b w:val="false"/>
          <w:bCs w:val="false"/>
          <w:sz w:val="28"/>
          <w:szCs w:val="28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inherit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300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start"/>
      <w:pPr>
        <w:tabs>
          <w:tab w:val="num" w:pos="0"/>
        </w:tabs>
        <w:ind w:start="675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300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start"/>
      <w:pPr>
        <w:tabs>
          <w:tab w:val="num" w:pos="0"/>
        </w:tabs>
        <w:ind w:start="675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bullet"/>
        <w:suff w:val="nothing"/>
        <w:lvlText w:val=""/>
        <w:lvlJc w:val="start"/>
        <w:pPr>
          <w:tabs>
            <w:tab w:val="num" w:pos="0"/>
          </w:tabs>
          <w:ind w:start="300" w:hanging="0"/>
        </w:pPr>
        <w:rPr>
          <w:rFonts w:ascii="Symbol" w:hAnsi="Symbol" w:cs="Symbol" w:hint="default"/>
        </w:rPr>
      </w:lvl>
    </w:lvlOverride>
    <w:lvlOverride w:ilvl="0">
      <w:startOverride w:val="1"/>
    </w:lvlOverride>
    <w:lvlOverride w:ilvl="1">
      <w:lvl w:ilvl="1">
        <w:start w:val="1"/>
        <w:numFmt w:val="bullet"/>
        <w:suff w:val="nothing"/>
        <w:lvlText w:val=""/>
        <w:lvlJc w:val="start"/>
        <w:pPr>
          <w:tabs>
            <w:tab w:val="num" w:pos="0"/>
          </w:tabs>
          <w:ind w:start="675" w:hanging="0"/>
        </w:pPr>
        <w:rPr>
          <w:rFonts w:ascii="Symbol" w:hAnsi="Symbol" w:cs="Symbol" w:hint="default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"/>
        <w:lvlJc w:val="start"/>
        <w:pPr>
          <w:tabs>
            <w:tab w:val="num" w:pos="2121"/>
          </w:tabs>
          <w:ind w:start="2121" w:hanging="283"/>
        </w:pPr>
        <w:rPr>
          <w:rFonts w:ascii="Symbol" w:hAnsi="Symbol" w:cs="Symbol" w:hint="default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2828"/>
          </w:tabs>
          <w:ind w:start="2828" w:hanging="283"/>
        </w:pPr>
        <w:rPr>
          <w:rFonts w:ascii="Symbol" w:hAnsi="Symbol" w:cs="Symbol" w:hint="default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"/>
        <w:lvlJc w:val="start"/>
        <w:pPr>
          <w:tabs>
            <w:tab w:val="num" w:pos="3535"/>
          </w:tabs>
          <w:ind w:start="3535" w:hanging="283"/>
        </w:pPr>
        <w:rPr>
          <w:rFonts w:ascii="Symbol" w:hAnsi="Symbol" w:cs="Symbol" w:hint="default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"/>
        <w:lvlJc w:val="start"/>
        <w:pPr>
          <w:tabs>
            <w:tab w:val="num" w:pos="4242"/>
          </w:tabs>
          <w:ind w:start="4242" w:hanging="283"/>
        </w:pPr>
        <w:rPr>
          <w:rFonts w:ascii="Symbol" w:hAnsi="Symbol" w:cs="Symbol" w:hint="default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4949"/>
          </w:tabs>
          <w:ind w:start="4949" w:hanging="283"/>
        </w:pPr>
        <w:rPr>
          <w:rFonts w:ascii="Symbol" w:hAnsi="Symbol" w:cs="Symbol" w:hint="default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"/>
        <w:lvlJc w:val="start"/>
        <w:pPr>
          <w:tabs>
            <w:tab w:val="num" w:pos="5656"/>
          </w:tabs>
          <w:ind w:start="5656" w:hanging="283"/>
        </w:pPr>
        <w:rPr>
          <w:rFonts w:ascii="Symbol" w:hAnsi="Symbol" w:cs="Symbol" w:hint="default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"/>
        <w:lvlJc w:val="start"/>
        <w:pPr>
          <w:tabs>
            <w:tab w:val="num" w:pos="6363"/>
          </w:tabs>
          <w:ind w:start="6363" w:hanging="283"/>
        </w:pPr>
        <w:rPr>
          <w:rFonts w:ascii="Symbol" w:hAnsi="Symbol" w:cs="Symbol" w:hint="default"/>
        </w:rPr>
      </w:lvl>
    </w:lvlOverride>
  </w:num>
  <w:num w:numId="6">
    <w:abstractNumId w:val="1"/>
    <w:lvlOverride w:ilvl="0">
      <w:lvl w:ilvl="0">
        <w:start w:val="1"/>
        <w:numFmt w:val="bullet"/>
        <w:suff w:val="nothing"/>
        <w:lvlText w:val=""/>
        <w:lvlJc w:val="start"/>
        <w:pPr>
          <w:tabs>
            <w:tab w:val="num" w:pos="0"/>
          </w:tabs>
          <w:ind w:start="300" w:hanging="0"/>
        </w:pPr>
        <w:rPr>
          <w:rFonts w:ascii="Symbol" w:hAnsi="Symbol" w:cs="Symbol" w:hint="default"/>
        </w:rPr>
      </w:lvl>
    </w:lvlOverride>
    <w:lvlOverride w:ilvl="0">
      <w:startOverride w:val="1"/>
    </w:lvlOverride>
    <w:lvlOverride w:ilvl="1">
      <w:lvl w:ilvl="1">
        <w:start w:val="1"/>
        <w:numFmt w:val="bullet"/>
        <w:suff w:val="nothing"/>
        <w:lvlText w:val=""/>
        <w:lvlJc w:val="start"/>
        <w:pPr>
          <w:tabs>
            <w:tab w:val="num" w:pos="0"/>
          </w:tabs>
          <w:ind w:start="675" w:hanging="0"/>
        </w:pPr>
        <w:rPr>
          <w:rFonts w:ascii="Symbol" w:hAnsi="Symbol" w:cs="Symbol" w:hint="default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"/>
        <w:lvlJc w:val="start"/>
        <w:pPr>
          <w:tabs>
            <w:tab w:val="num" w:pos="2121"/>
          </w:tabs>
          <w:ind w:start="2121" w:hanging="283"/>
        </w:pPr>
        <w:rPr>
          <w:rFonts w:ascii="Symbol" w:hAnsi="Symbol" w:cs="Symbol" w:hint="default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2828"/>
          </w:tabs>
          <w:ind w:start="2828" w:hanging="283"/>
        </w:pPr>
        <w:rPr>
          <w:rFonts w:ascii="Symbol" w:hAnsi="Symbol" w:cs="Symbol" w:hint="default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"/>
        <w:lvlJc w:val="start"/>
        <w:pPr>
          <w:tabs>
            <w:tab w:val="num" w:pos="3535"/>
          </w:tabs>
          <w:ind w:start="3535" w:hanging="283"/>
        </w:pPr>
        <w:rPr>
          <w:rFonts w:ascii="Symbol" w:hAnsi="Symbol" w:cs="Symbol" w:hint="default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"/>
        <w:lvlJc w:val="start"/>
        <w:pPr>
          <w:tabs>
            <w:tab w:val="num" w:pos="4242"/>
          </w:tabs>
          <w:ind w:start="4242" w:hanging="283"/>
        </w:pPr>
        <w:rPr>
          <w:rFonts w:ascii="Symbol" w:hAnsi="Symbol" w:cs="Symbol" w:hint="default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4949"/>
          </w:tabs>
          <w:ind w:start="4949" w:hanging="283"/>
        </w:pPr>
        <w:rPr>
          <w:rFonts w:ascii="Symbol" w:hAnsi="Symbol" w:cs="Symbol" w:hint="default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"/>
        <w:lvlJc w:val="start"/>
        <w:pPr>
          <w:tabs>
            <w:tab w:val="num" w:pos="5656"/>
          </w:tabs>
          <w:ind w:start="5656" w:hanging="283"/>
        </w:pPr>
        <w:rPr>
          <w:rFonts w:ascii="Symbol" w:hAnsi="Symbol" w:cs="Symbol" w:hint="default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"/>
        <w:lvlJc w:val="start"/>
        <w:pPr>
          <w:tabs>
            <w:tab w:val="num" w:pos="6363"/>
          </w:tabs>
          <w:ind w:start="636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EnlacedeInternetuser">
    <w:name w:val="Enlace de Internet (user)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sermugran.es/wp-content/uploads/2022/07/Convenio-Ayto-y-Ecoembes.pdf" TargetMode="External"/><Relationship Id="rId4" Type="http://schemas.openxmlformats.org/officeDocument/2006/relationships/hyperlink" Target="https://www.sermugran.es/wp-content/uploads/2022/07/Convenio-Sermugra-y-el-ITER.pdf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LibreOffice/26.2.3.2$Windows_X86_64 LibreOffice_project/70e089b17412e4cb7773e41413306b17a2328c34</Application>
  <AppVersion>15.0000</AppVersion>
  <Pages>1</Pages>
  <Words>172</Words>
  <Characters>949</Characters>
  <CharactersWithSpaces>1123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2026-06-18T15:06:22Z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