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.emf" ContentType="image/x-emf"/>
  <Override PartName="/word/media/image3.emf" ContentType="image/x-emf"/>
  <Override PartName="/word/numbering.xml" ContentType="application/vnd.openxmlformats-officedocument.wordprocessingml.numbering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133985</wp:posOffset>
            </wp:positionV>
            <wp:extent cx="3080385" cy="772160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1766" r="0" b="32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85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Numero de actuaciones en los diferentes servicios que prestamos durante el ejercicio 2025. </w:t>
      </w:r>
    </w:p>
    <w:p>
      <w:pPr>
        <w:pStyle w:val="Normal"/>
        <w:bidi w:val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Servicios Recogida de Residuos y Limpieza Viaria.</w:t>
      </w:r>
    </w:p>
    <w:p>
      <w:pPr>
        <w:pStyle w:val="Normal"/>
        <w:bidi w:val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rPr/>
      </w:pPr>
      <w:r>
        <w:object w:dxaOrig="11521" w:dyaOrig="8448">
          <v:shapetype id="_x0000_tole_rId3" coordsize="21600,21600" o:spt="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-3.9pt;margin-top:36.35pt;width:481.95pt;height:356.5pt;mso-wrap-distance-right:0pt;mso-position-horizontal-relative:text;mso-position-vertical-relative:text" filled="f" o:ole="">
            <v:imagedata r:id="rId4" o:title=""/>
            <w10:wrap type="topAndBottom"/>
          </v:shape>
          <o:OLEObject Type="Embed" ProgID="Excel.Sheet.12" ShapeID="ole_rId3" DrawAspect="Content" ObjectID="_960331641" r:id="rId3"/>
        </w:object>
      </w:r>
      <w:r>
        <w:rPr>
          <w:rFonts w:ascii="Arial" w:hAnsi="Arial"/>
        </w:rPr>
        <w:t>Los residuos: envases de vidrio, ropa y calzado y aceite son recogidos y gestionados por gestores externos. Datos en toneladas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Los anteriores datos construyen una separación de residuos según los siguientes porcentajes;</w:t>
      </w:r>
    </w:p>
    <w:p>
      <w:pPr>
        <w:pStyle w:val="Normal"/>
        <w:rPr/>
      </w:pPr>
      <w:r>
        <w:rPr/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92710</wp:posOffset>
            </wp:positionH>
            <wp:positionV relativeFrom="paragraph">
              <wp:posOffset>113665</wp:posOffset>
            </wp:positionV>
            <wp:extent cx="5759450" cy="3239770"/>
            <wp:effectExtent l="0" t="0" r="0" b="0"/>
            <wp:wrapTopAndBottom/>
            <wp:docPr id="2" name="Objeto6" descr="gráfi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Los voluminosos se han agrupado, en detalle se separarían en los siguientes porcentajes:</w:t>
      </w:r>
    </w:p>
    <w:p>
      <w:pPr>
        <w:pStyle w:val="Normal"/>
        <w:rPr/>
      </w:pPr>
      <w:r>
        <w:rPr/>
      </w:r>
    </w:p>
    <w:p>
      <w:pPr>
        <w:pStyle w:val="Normal"/>
        <w:bidi w:val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-10160</wp:posOffset>
            </wp:positionH>
            <wp:positionV relativeFrom="paragraph">
              <wp:posOffset>37465</wp:posOffset>
            </wp:positionV>
            <wp:extent cx="5760085" cy="3239770"/>
            <wp:effectExtent l="0" t="0" r="0" b="0"/>
            <wp:wrapTopAndBottom/>
            <wp:docPr id="3" name="Objeto7" descr="gráfi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numPr>
          <w:ilvl w:val="0"/>
          <w:numId w:val="1"/>
        </w:numP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Servicio de Limpieza de Centros Públicos e Instalaciones Deportivas.</w:t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Tiempo anual empleado en limpieza en los centros municipales;</w:t>
      </w:r>
    </w:p>
    <w:p>
      <w:pPr>
        <w:pStyle w:val="Normal"/>
        <w:rPr/>
      </w:pPr>
      <w:r>
        <w:rPr/>
        <w:object w:dxaOrig="11521" w:dyaOrig="8960">
          <v:shapetype id="_x0000_tole_rId7" coordsize="21600,21600" o:spt="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" type="_x0000_tole_rId7" style="position:absolute;margin-left:-7.95pt;margin-top:12.7pt;width:497.8pt;height:387.6pt;mso-wrap-distance-right:0pt;mso-position-horizontal-relative:text;mso-position-vertical-relative:text" filled="f" o:ole="">
            <v:imagedata r:id="rId8" o:title=""/>
            <w10:wrap type="square"/>
          </v:shape>
          <o:OLEObject Type="Embed" ProgID="Excel.Sheet.12" ShapeID="ole_rId7" DrawAspect="Content" ObjectID="_1833285086" r:id="rId7"/>
        </w:object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108585</wp:posOffset>
            </wp:positionV>
            <wp:extent cx="5541645" cy="10692130"/>
            <wp:effectExtent l="0" t="0" r="0" b="0"/>
            <wp:wrapSquare wrapText="largest"/>
            <wp:docPr id="4" name="Objeto8" descr="gráfi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Servicios de Mantenimiento de Espacios y Centros Públicos.</w:t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Las ordenes de trabajo realizadas durante el ejercicio 2025 fueron un total de 1186, distribuidas en los diferentes barrios e instalaciones del municipio de la siguiente manera:</w:t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San Isidro 360</w:t>
      </w:r>
    </w:p>
    <w:p>
      <w:pPr>
        <w:pStyle w:val="Normal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Granadilla 121</w:t>
      </w:r>
    </w:p>
    <w:p>
      <w:pPr>
        <w:pStyle w:val="Normal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El médano 144</w:t>
      </w:r>
    </w:p>
    <w:p>
      <w:pPr>
        <w:pStyle w:val="Normal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Los Abrigos 43</w:t>
      </w:r>
    </w:p>
    <w:p>
      <w:pPr>
        <w:pStyle w:val="Normal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Charco 34</w:t>
      </w:r>
    </w:p>
    <w:p>
      <w:pPr>
        <w:pStyle w:val="Normal"/>
        <w:numPr>
          <w:ilvl w:val="0"/>
          <w:numId w:val="2"/>
        </w:numPr>
        <w:rPr>
          <w:rFonts w:ascii="Arial" w:hAnsi="Arial"/>
        </w:rPr>
      </w:pPr>
      <w:r>
        <w:drawing>
          <wp:anchor distT="0" distB="0" distL="0" distR="0" simplePos="0" relativeHeight="9" behindDoc="0" locked="0" layoutInCell="0" allowOverlap="1">
            <wp:simplePos x="0" y="0"/>
            <wp:positionH relativeFrom="column">
              <wp:posOffset>-114300</wp:posOffset>
            </wp:positionH>
            <wp:positionV relativeFrom="paragraph">
              <wp:posOffset>377190</wp:posOffset>
            </wp:positionV>
            <wp:extent cx="6120130" cy="1631950"/>
            <wp:effectExtent l="0" t="0" r="0" b="0"/>
            <wp:wrapSquare wrapText="largest"/>
            <wp:docPr id="5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3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Instalaciones 270</w:t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-365760</wp:posOffset>
            </wp:positionH>
            <wp:positionV relativeFrom="paragraph">
              <wp:posOffset>143510</wp:posOffset>
            </wp:positionV>
            <wp:extent cx="6699250" cy="1786255"/>
            <wp:effectExtent l="0" t="0" r="0" b="0"/>
            <wp:wrapSquare wrapText="largest"/>
            <wp:docPr id="6" name="Imagen1 C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 Copia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0" cy="178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Servicios de Atención al Ciudadano (SAC).</w:t>
      </w:r>
    </w:p>
    <w:p>
      <w:pPr>
        <w:pStyle w:val="Normal"/>
        <w:bidi w:val="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75565</wp:posOffset>
            </wp:positionH>
            <wp:positionV relativeFrom="paragraph">
              <wp:posOffset>200025</wp:posOffset>
            </wp:positionV>
            <wp:extent cx="5759450" cy="3239770"/>
            <wp:effectExtent l="0" t="0" r="0" b="0"/>
            <wp:wrapSquare wrapText="largest"/>
            <wp:docPr id="7" name="Objeto4" descr="gráfi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bidi w:val="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bidi w:val="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bidi w:val="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bidi w:val="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bidi w:val="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bidi w:val="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bidi w:val="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bidi w:val="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bidi w:val="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bidi w:val="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bidi w:val="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bidi w:val="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bidi w:val="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bidi w:val="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bidi w:val="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bidi w:val="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numPr>
          <w:ilvl w:val="0"/>
          <w:numId w:val="0"/>
        </w:numPr>
        <w:bidi w:val="0"/>
        <w:ind w:hanging="0" w:left="72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numPr>
          <w:ilvl w:val="0"/>
          <w:numId w:val="0"/>
        </w:numPr>
        <w:bidi w:val="0"/>
        <w:ind w:hanging="0" w:left="72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numPr>
          <w:ilvl w:val="0"/>
          <w:numId w:val="0"/>
        </w:numPr>
        <w:bidi w:val="0"/>
        <w:ind w:hanging="0" w:left="72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Servicio de Atención Telefónica (010).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numPr>
          <w:ilvl w:val="0"/>
          <w:numId w:val="0"/>
        </w:numPr>
        <w:bidi w:val="0"/>
        <w:ind w:hanging="0" w:left="72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numPr>
          <w:ilvl w:val="0"/>
          <w:numId w:val="0"/>
        </w:numPr>
        <w:bidi w:val="0"/>
        <w:ind w:hanging="0" w:left="720"/>
        <w:jc w:val="left"/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Arial" w:hAnsi="Arial"/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026150" cy="3239770"/>
            <wp:effectExtent l="0" t="0" r="0" b="0"/>
            <wp:wrapSquare wrapText="largest"/>
            <wp:docPr id="8" name="Objeto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roman"/>
    <w:pitch w:val="variable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Bolosuser">
    <w:name w:val="Bolo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package" Target="embeddings/oleObject1.xlsx"/><Relationship Id="rId4" Type="http://schemas.openxmlformats.org/officeDocument/2006/relationships/image" Target="media/image2.emf"/><Relationship Id="rId5" Type="http://schemas.openxmlformats.org/officeDocument/2006/relationships/chart" Target="charts/chart1.xml"/><Relationship Id="rId6" Type="http://schemas.openxmlformats.org/officeDocument/2006/relationships/chart" Target="charts/chart2.xml"/><Relationship Id="rId7" Type="http://schemas.openxmlformats.org/officeDocument/2006/relationships/package" Target="embeddings/oleObject2.xlsx"/><Relationship Id="rId8" Type="http://schemas.openxmlformats.org/officeDocument/2006/relationships/image" Target="media/image3.emf"/><Relationship Id="rId9" Type="http://schemas.openxmlformats.org/officeDocument/2006/relationships/chart" Target="charts/chart3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chart" Target="charts/chart4.xml"/><Relationship Id="rId13" Type="http://schemas.openxmlformats.org/officeDocument/2006/relationships/chart" Target="charts/chart5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c:chart>
    <c:title>
      <c:tx>
        <c:rich>
          <a:bodyPr rot="0"/>
          <a:lstStyle/>
          <a:p>
            <a:pPr>
              <a:defRPr sz="1300" b="0" u="none" strike="noStrike">
                <a:uFillTx/>
                <a:latin typeface="Arial"/>
              </a:defRPr>
            </a:pPr>
            <a:r>
              <a:rPr sz="1300" b="0" u="none" strike="noStrike">
                <a:solidFill>
                  <a:srgbClr val="000000"/>
                </a:solidFill>
                <a:uFillTx/>
                <a:latin typeface="Arial"/>
                <a:ea typeface="DejaVu Sans"/>
              </a:rPr>
              <a:t>Año 2025</a:t>
            </a:r>
          </a:p>
          <a:p>
            <a:pPr>
              <a:defRPr sz="1300" b="0" u="none" strike="noStrike">
                <a:uFillTx/>
                <a:latin typeface="Arial"/>
              </a:defRPr>
            </a:pPr>
            <a:r>
              <a:rPr sz="1100" b="0" u="none" strike="noStrike">
                <a:solidFill>
                  <a:srgbClr val="000000"/>
                </a:solidFill>
                <a:uFillTx/>
                <a:latin typeface="Arial"/>
                <a:ea typeface="DejaVu Sans"/>
              </a:rPr>
              <a:t>(Ton) Voluminosos agrupados</a:t>
            </a:r>
          </a:p>
        </c:rich>
      </c:tx>
      <c:overlay val="0"/>
      <c:spPr>
        <a:noFill/>
        <a:ln w="0">
          <a:noFill/>
        </a:ln>
      </c:spPr>
    </c:title>
    <c:autoTitleDeleted val="0"/>
    <c:view3D>
      <c:rotX val="30"/>
      <c:rotY val="135"/>
      <c:rAngAx val="0"/>
      <c:perspective val="10"/>
    </c:view3D>
    <c:floor>
      <c:spPr>
        <a:solidFill>
          <a:srgbClr val="D9D9D9"/>
        </a:solidFill>
        <a:ln w="0">
          <a:noFill/>
        </a:ln>
      </c:spPr>
    </c:floor>
    <c:sideWall>
      <c:spPr>
        <a:solidFill>
          <a:srgbClr val="D9D9D9"/>
        </a:solidFill>
        <a:ln w="0">
          <a:noFill/>
        </a:ln>
      </c:spPr>
    </c:sideWall>
    <c:backWall>
      <c:spPr>
        <a:solidFill>
          <a:srgbClr val="D9D9D9"/>
        </a:solidFill>
        <a:ln w="0"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004586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666666"/>
              </a:solidFill>
              <a:ln w="0">
                <a:noFill/>
              </a:ln>
            </c:spPr>
          </c:dPt>
          <c:dPt>
            <c:idx val="1"/>
            <c:spPr>
              <a:solidFill>
                <a:srgbClr val="B85C00"/>
              </a:solidFill>
              <a:ln w="0">
                <a:noFill/>
              </a:ln>
            </c:spPr>
          </c:dPt>
          <c:dPt>
            <c:idx val="2"/>
            <c:spPr>
              <a:solidFill>
                <a:srgbClr val="FFD320"/>
              </a:solidFill>
              <a:ln w="0">
                <a:noFill/>
              </a:ln>
            </c:spPr>
          </c:dPt>
          <c:dPt>
            <c:idx val="3"/>
            <c:spPr>
              <a:solidFill>
                <a:srgbClr val="5983B0"/>
              </a:solidFill>
              <a:ln w="0">
                <a:noFill/>
              </a:ln>
            </c:spPr>
          </c:dPt>
          <c:dPt>
            <c:idx val="4"/>
            <c:spPr>
              <a:solidFill>
                <a:srgbClr val="3FAF4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83CAFF"/>
              </a:solidFill>
              <a:ln w="0">
                <a:noFill/>
              </a:ln>
            </c:spPr>
          </c:dPt>
          <c:dPt>
            <c:idx val="6"/>
            <c:spPr>
              <a:solidFill>
                <a:srgbClr val="314004"/>
              </a:solidFill>
              <a:ln w="0">
                <a:noFill/>
              </a:ln>
            </c:spPr>
          </c:dPt>
          <c:dPt>
            <c:idx val="7"/>
            <c:spPr>
              <a:solidFill>
                <a:srgbClr val="AECF00"/>
              </a:solidFill>
              <a:ln w="0">
                <a:noFill/>
              </a:ln>
            </c:spPr>
          </c:dPt>
          <c:dPt>
            <c:idx val="8"/>
            <c:spPr>
              <a:solidFill>
                <a:srgbClr val="FF3838"/>
              </a:solidFill>
              <a:ln w="0">
                <a:noFill/>
              </a:ln>
            </c:spPr>
          </c:dPt>
          <c:dLbls>
            <c:dLbl>
              <c:idx val="0"/>
              <c:numFmt formatCode="[$-C0A]0.00\ %" sourceLinked="0"/>
              <c:txPr>
                <a:bodyPr wrap="none"/>
                <a:lstStyle/>
                <a:p>
                  <a:pPr>
                    <a:defRPr sz="1000" b="0" u="none" strike="noStrike">
                      <a:solidFill>
                        <a:srgbClr val="000000"/>
                      </a:solidFill>
                      <a:uFillTx/>
                      <a:latin typeface="Arial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eparator> </c:separator>
            </c:dLbl>
            <c:dLbl>
              <c:idx val="1"/>
              <c:numFmt formatCode="[$-C0A]0.00\ %" sourceLinked="0"/>
              <c:txPr>
                <a:bodyPr wrap="none"/>
                <a:lstStyle/>
                <a:p>
                  <a:pPr>
                    <a:defRPr sz="1000" b="0" u="none" strike="noStrike">
                      <a:solidFill>
                        <a:srgbClr val="000000"/>
                      </a:solidFill>
                      <a:uFillTx/>
                      <a:latin typeface="Arial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eparator> </c:separator>
            </c:dLbl>
            <c:dLbl>
              <c:idx val="2"/>
              <c:numFmt formatCode="[$-C0A]0.00\ %" sourceLinked="0"/>
              <c:txPr>
                <a:bodyPr wrap="none"/>
                <a:lstStyle/>
                <a:p>
                  <a:pPr>
                    <a:defRPr sz="1000" b="0" u="none" strike="noStrike">
                      <a:solidFill>
                        <a:srgbClr val="000000"/>
                      </a:solidFill>
                      <a:uFillTx/>
                      <a:latin typeface="Arial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eparator> </c:separator>
            </c:dLbl>
            <c:dLbl>
              <c:idx val="3"/>
              <c:numFmt formatCode="[$-C0A]0.00\ %" sourceLinked="0"/>
              <c:txPr>
                <a:bodyPr wrap="none"/>
                <a:lstStyle/>
                <a:p>
                  <a:pPr>
                    <a:defRPr sz="1000" b="0" u="none" strike="noStrike">
                      <a:solidFill>
                        <a:srgbClr val="000000"/>
                      </a:solidFill>
                      <a:uFillTx/>
                      <a:latin typeface="Arial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eparator> </c:separator>
            </c:dLbl>
            <c:dLbl>
              <c:idx val="4"/>
              <c:numFmt formatCode="[$-C0A]0.00\ %" sourceLinked="0"/>
              <c:txPr>
                <a:bodyPr wrap="none"/>
                <a:lstStyle/>
                <a:p>
                  <a:pPr>
                    <a:defRPr sz="1000" b="0" u="none" strike="noStrike">
                      <a:solidFill>
                        <a:srgbClr val="000000"/>
                      </a:solidFill>
                      <a:uFillTx/>
                      <a:latin typeface="Arial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eparator> </c:separator>
            </c:dLbl>
            <c:dLbl>
              <c:idx val="5"/>
              <c:numFmt formatCode="[$-C0A]0.00\ %" sourceLinked="0"/>
              <c:txPr>
                <a:bodyPr wrap="none"/>
                <a:lstStyle/>
                <a:p>
                  <a:pPr>
                    <a:defRPr sz="1000" b="0" u="none" strike="noStrike">
                      <a:solidFill>
                        <a:srgbClr val="000000"/>
                      </a:solidFill>
                      <a:uFillTx/>
                      <a:latin typeface="Arial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eparator> </c:separator>
            </c:dLbl>
            <c:dLbl>
              <c:idx val="6"/>
              <c:numFmt formatCode="[$-C0A]0.00\ %" sourceLinked="0"/>
              <c:txPr>
                <a:bodyPr wrap="none"/>
                <a:lstStyle/>
                <a:p>
                  <a:pPr>
                    <a:defRPr sz="1000" b="0" u="none" strike="noStrike">
                      <a:solidFill>
                        <a:srgbClr val="000000"/>
                      </a:solidFill>
                      <a:uFillTx/>
                      <a:latin typeface="Arial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eparator> </c:separator>
            </c:dLbl>
            <c:dLbl>
              <c:idx val="7"/>
              <c:numFmt formatCode="[$-C0A]0.00\ %" sourceLinked="0"/>
              <c:txPr>
                <a:bodyPr wrap="none"/>
                <a:lstStyle/>
                <a:p>
                  <a:pPr>
                    <a:defRPr sz="1000" b="0" u="none" strike="noStrike">
                      <a:solidFill>
                        <a:srgbClr val="000000"/>
                      </a:solidFill>
                      <a:uFillTx/>
                      <a:latin typeface="Arial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eparator> </c:separator>
            </c:dLbl>
            <c:dLbl>
              <c:idx val="8"/>
              <c:numFmt formatCode="[$-C0A]0.00\ %" sourceLinked="0"/>
              <c:txPr>
                <a:bodyPr wrap="none"/>
                <a:lstStyle/>
                <a:p>
                  <a:pPr>
                    <a:defRPr sz="1000" b="0" u="none" strike="noStrike">
                      <a:solidFill>
                        <a:srgbClr val="000000"/>
                      </a:solidFill>
                      <a:uFillTx/>
                      <a:latin typeface="Arial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eparator> </c:separator>
            </c:dLbl>
            <c:numFmt formatCode="[$-C0A]0.00\ %" sourceLinked="0"/>
            <c:txPr>
              <a:bodyPr wrap="none"/>
              <a:lstStyle/>
              <a:p>
                <a:pPr>
                  <a:defRPr sz="1000" b="0" u="none" strike="noStrike">
                    <a:solidFill>
                      <a:srgbClr val="000000"/>
                    </a:solidFill>
                    <a:uFillTx/>
                    <a:latin typeface="Arial"/>
                    <a:ea typeface="DejaVu San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eparator> </c:separator>
            <c:showLeaderLines val="1"/>
            <c:leaderLines>
              <c:spPr>
                <a:ln w="0">
                  <a:solidFill>
                    <a:srgbClr val="000000"/>
                  </a:solidFill>
                </a:ln>
              </c:spPr>
            </c:leaderLines>
          </c:dLbls>
          <c:cat>
            <c:strRef>
              <c:f>categories</c:f>
              <c:strCache>
                <c:ptCount val="9"/>
                <c:pt idx="0">
                  <c:v>RESTO</c:v>
                </c:pt>
                <c:pt idx="1">
                  <c:v>ORGÁNICA</c:v>
                </c:pt>
                <c:pt idx="2">
                  <c:v>ENVASES L.</c:v>
                </c:pt>
                <c:pt idx="3">
                  <c:v>P. y CARTÓN</c:v>
                </c:pt>
                <c:pt idx="4">
                  <c:v>E. VIDRIO</c:v>
                </c:pt>
                <c:pt idx="5">
                  <c:v>ROPA Y CALZ.</c:v>
                </c:pt>
                <c:pt idx="6">
                  <c:v>ACEITE</c:v>
                </c:pt>
                <c:pt idx="7">
                  <c:v>OTROS LIMPIEZA VIARIA</c:v>
                </c:pt>
                <c:pt idx="8">
                  <c:v>VOLUMINOSOS TOTAL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9"/>
                <c:pt idx="0">
                  <c:v>19225.78</c:v>
                </c:pt>
                <c:pt idx="1">
                  <c:v>593.36</c:v>
                </c:pt>
                <c:pt idx="2">
                  <c:v>882.47</c:v>
                </c:pt>
                <c:pt idx="3">
                  <c:v>1217.333</c:v>
                </c:pt>
                <c:pt idx="4">
                  <c:v>710.62</c:v>
                </c:pt>
                <c:pt idx="5">
                  <c:v>86.067</c:v>
                </c:pt>
                <c:pt idx="6">
                  <c:v>1.227308</c:v>
                </c:pt>
                <c:pt idx="7">
                  <c:v>341.48</c:v>
                </c:pt>
                <c:pt idx="8">
                  <c:v>1542.354</c:v>
                </c:pt>
              </c:numCache>
            </c:numRef>
          </c:val>
        </c:ser>
      </c:pie3DChart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sz="1000" b="0" u="none" strike="noStrike">
              <a:solidFill>
                <a:srgbClr val="000000"/>
              </a:solidFill>
              <a:uFillTx/>
              <a:latin typeface="Arial"/>
              <a:ea typeface="DejaVu Sans"/>
            </a:defRPr>
          </a:pPr>
        </a:p>
      </c:txPr>
    </c:legend>
    <c:plotVisOnly val="1"/>
    <c:dispBlanksAs val="zero"/>
  </c:chart>
  <c:spPr>
    <a:noFill/>
    <a:ln w="0"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c:chart>
    <c:title>
      <c:tx>
        <c:rich>
          <a:bodyPr rot="0"/>
          <a:lstStyle/>
          <a:p>
            <a:pPr>
              <a:defRPr sz="1300" b="0" u="none" strike="noStrike">
                <a:uFillTx/>
                <a:latin typeface="Arial"/>
              </a:defRPr>
            </a:pPr>
            <a:r>
              <a:rPr sz="1300" b="0" u="none" strike="noStrike">
                <a:solidFill>
                  <a:srgbClr val="000000"/>
                </a:solidFill>
                <a:uFillTx/>
                <a:latin typeface="Arial"/>
                <a:ea typeface="DejaVu Sans"/>
              </a:rPr>
              <a:t>Detalle voluminosos</a:t>
            </a:r>
          </a:p>
          <a:p>
            <a:pPr>
              <a:defRPr sz="1300" b="0" u="none" strike="noStrike">
                <a:uFillTx/>
                <a:latin typeface="Arial"/>
              </a:defRPr>
            </a:pPr>
            <a:r>
              <a:rPr sz="1100" b="0" u="none" strike="noStrike">
                <a:solidFill>
                  <a:srgbClr val="000000"/>
                </a:solidFill>
                <a:uFillTx/>
                <a:latin typeface="Arial"/>
                <a:ea typeface="DejaVu Sans"/>
              </a:rPr>
              <a:t>2025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doughnut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Columna O</c:v>
                </c:pt>
              </c:strCache>
            </c:strRef>
          </c:tx>
          <c:spPr>
            <a:solidFill>
              <a:srgbClr val="808080"/>
            </a:solidFill>
            <a:ln w="0">
              <a:noFill/>
            </a:ln>
          </c:spPr>
          <c:explosion val="50"/>
          <c:dPt>
            <c:idx val="0"/>
            <c:explosion val="50"/>
            <c:spPr>
              <a:solidFill>
                <a:srgbClr val="999999"/>
              </a:solidFill>
              <a:ln w="0">
                <a:noFill/>
              </a:ln>
            </c:spPr>
          </c:dPt>
          <c:dPt>
            <c:idx val="1"/>
            <c:explosion val="50"/>
            <c:spPr>
              <a:solidFill>
                <a:srgbClr val="A1467E"/>
              </a:solidFill>
              <a:ln w="0">
                <a:noFill/>
              </a:ln>
            </c:spPr>
          </c:dPt>
          <c:dPt>
            <c:idx val="2"/>
            <c:explosion val="50"/>
            <c:spPr>
              <a:solidFill>
                <a:srgbClr val="FF5429"/>
              </a:solidFill>
              <a:ln w="0">
                <a:noFill/>
              </a:ln>
            </c:spPr>
          </c:dPt>
          <c:dPt>
            <c:idx val="3"/>
            <c:explosion val="50"/>
            <c:spPr>
              <a:solidFill>
                <a:srgbClr val="333333"/>
              </a:solidFill>
              <a:ln w="0">
                <a:noFill/>
              </a:ln>
            </c:spPr>
          </c:dPt>
          <c:dPt>
            <c:idx val="4"/>
            <c:explosion val="50"/>
            <c:spPr>
              <a:solidFill>
                <a:srgbClr val="FFB66C"/>
              </a:solidFill>
              <a:ln w="0">
                <a:noFill/>
              </a:ln>
            </c:spPr>
          </c:dPt>
          <c:dLbls>
            <c:dLbl>
              <c:idx val="0"/>
              <c:numFmt formatCode="[$-C0A]0.00\ %" sourceLinked="0"/>
              <c:txPr>
                <a:bodyPr wrap="none"/>
                <a:lstStyle/>
                <a:p>
                  <a:pPr>
                    <a:defRPr sz="1000" b="0" u="none" strike="noStrike">
                      <a:solidFill>
                        <a:srgbClr val="000000"/>
                      </a:solidFill>
                      <a:uFillTx/>
                      <a:latin typeface="Arial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1"/>
              <c:separator> </c:separator>
            </c:dLbl>
            <c:dLbl>
              <c:idx val="1"/>
              <c:numFmt formatCode="[$-C0A]0.00\ %" sourceLinked="0"/>
              <c:txPr>
                <a:bodyPr wrap="none"/>
                <a:lstStyle/>
                <a:p>
                  <a:pPr>
                    <a:defRPr sz="1000" b="0" u="none" strike="noStrike">
                      <a:solidFill>
                        <a:srgbClr val="000000"/>
                      </a:solidFill>
                      <a:uFillTx/>
                      <a:latin typeface="Arial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1"/>
              <c:separator> </c:separator>
            </c:dLbl>
            <c:dLbl>
              <c:idx val="2"/>
              <c:layout>
                <c:manualLayout>
                  <c:x val="0.0704419026189137"/>
                  <c:y val="-0.0590065562840315"/>
                </c:manualLayout>
              </c:layout>
              <c:numFmt formatCode="[$-C0A]0.00\ %" sourceLinked="0"/>
              <c:txPr>
                <a:bodyPr wrap="none"/>
                <a:lstStyle/>
                <a:p>
                  <a:pPr>
                    <a:defRPr sz="1000" b="0" u="none" strike="noStrike">
                      <a:solidFill>
                        <a:srgbClr val="000000"/>
                      </a:solidFill>
                      <a:uFillTx/>
                      <a:latin typeface="Arial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1"/>
              <c:separator> </c:separator>
            </c:dLbl>
            <c:dLbl>
              <c:idx val="3"/>
              <c:layout>
                <c:manualLayout>
                  <c:x val="0.0188761797612351"/>
                  <c:y val="-0.0884542726969663"/>
                </c:manualLayout>
              </c:layout>
              <c:numFmt formatCode="[$-C0A]0.00\ %" sourceLinked="0"/>
              <c:txPr>
                <a:bodyPr wrap="none"/>
                <a:lstStyle/>
                <a:p>
                  <a:pPr>
                    <a:defRPr sz="1000" b="0" u="none" strike="noStrike">
                      <a:solidFill>
                        <a:srgbClr val="000000"/>
                      </a:solidFill>
                      <a:uFillTx/>
                      <a:latin typeface="Arial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1"/>
              <c:separator> </c:separator>
            </c:dLbl>
            <c:dLbl>
              <c:idx val="4"/>
              <c:layout>
                <c:manualLayout>
                  <c:x val="-0.0395024689043065"/>
                  <c:y val="-0.0531170130014446"/>
                </c:manualLayout>
              </c:layout>
              <c:numFmt formatCode="[$-C0A]0.00\ %" sourceLinked="0"/>
              <c:txPr>
                <a:bodyPr wrap="none"/>
                <a:lstStyle/>
                <a:p>
                  <a:pPr>
                    <a:defRPr sz="1000" b="0" u="none" strike="noStrike">
                      <a:solidFill>
                        <a:srgbClr val="000000"/>
                      </a:solidFill>
                      <a:uFillTx/>
                      <a:latin typeface="Arial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1"/>
              <c:separator> </c:separator>
            </c:dLbl>
            <c:numFmt formatCode="[$-C0A]0.00\ %" sourceLinked="0"/>
            <c:txPr>
              <a:bodyPr wrap="none"/>
              <a:lstStyle/>
              <a:p>
                <a:pPr>
                  <a:defRPr sz="1000" b="0" u="none" strike="noStrike">
                    <a:solidFill>
                      <a:srgbClr val="000000"/>
                    </a:solidFill>
                    <a:uFillTx/>
                    <a:latin typeface="Arial"/>
                    <a:ea typeface="DejaVu Sans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1"/>
            <c:separator> </c:separator>
            <c:showLeaderLines val="1"/>
            <c:leaderLines>
              <c:spPr>
                <a:ln w="0">
                  <a:solidFill>
                    <a:srgbClr val="000000"/>
                  </a:solidFill>
                </a:ln>
              </c:spPr>
            </c:leaderLines>
          </c:dLbls>
          <c:cat>
            <c:strRef>
              <c:f>categories</c:f>
              <c:strCache>
                <c:ptCount val="5"/>
                <c:pt idx="0">
                  <c:v>ESCOMBROS</c:v>
                </c:pt>
                <c:pt idx="1">
                  <c:v>ENSERES</c:v>
                </c:pt>
                <c:pt idx="2">
                  <c:v>RAEE</c:v>
                </c:pt>
                <c:pt idx="3">
                  <c:v>NFU</c:v>
                </c:pt>
                <c:pt idx="4">
                  <c:v>CHATARRA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257.11</c:v>
                </c:pt>
                <c:pt idx="1">
                  <c:v>1157.81</c:v>
                </c:pt>
                <c:pt idx="2">
                  <c:v>82.394</c:v>
                </c:pt>
                <c:pt idx="3">
                  <c:v>8.72</c:v>
                </c:pt>
                <c:pt idx="4">
                  <c:v>36.32</c:v>
                </c:pt>
              </c:numCache>
            </c:numRef>
          </c:val>
        </c:ser>
        <c:firstSliceAng val="0"/>
        <c:holeSize val="50"/>
      </c:doughnutChart>
      <c:spPr>
        <a:solidFill>
          <a:srgbClr val="FFFFFF"/>
        </a:solidFill>
        <a:ln w="0">
          <a:noFill/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sz="1000" b="0" u="none" strike="noStrike">
              <a:solidFill>
                <a:srgbClr val="000000"/>
              </a:solidFill>
              <a:uFillTx/>
              <a:latin typeface="Arial"/>
              <a:ea typeface="DejaVu Sans"/>
            </a:defRPr>
          </a:pPr>
        </a:p>
      </c:txPr>
    </c:legend>
    <c:plotVisOnly val="1"/>
    <c:dispBlanksAs val="zero"/>
  </c:chart>
  <c:spPr>
    <a:noFill/>
    <a:ln w="0"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c:chart>
    <c:title>
      <c:tx>
        <c:rich>
          <a:bodyPr rot="0"/>
          <a:lstStyle/>
          <a:p>
            <a:pPr>
              <a:defRPr sz="1300" b="0" u="none" strike="noStrike">
                <a:uFillTx/>
                <a:latin typeface="Arial"/>
              </a:defRPr>
            </a:pPr>
            <a:r>
              <a:rPr sz="1300" b="0" u="none" strike="noStrike">
                <a:solidFill>
                  <a:srgbClr val="000000"/>
                </a:solidFill>
                <a:uFillTx/>
                <a:latin typeface="Arial"/>
                <a:ea typeface="DejaVu Sans"/>
              </a:rPr>
              <a:t>Gráfico de tiempos [h]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barChart>
        <c:barDir val="bar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Tiempo anual [h]</c:v>
                </c:pt>
              </c:strCache>
            </c:strRef>
          </c:tx>
          <c:spPr>
            <a:solidFill>
              <a:srgbClr val="004586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sz="1000" b="0" u="none" strike="noStrike">
                    <a:solidFill>
                      <a:srgbClr val="000000"/>
                    </a:solidFill>
                    <a:uFillTx/>
                    <a:latin typeface="Arial"/>
                    <a:ea typeface="DejaVu Sans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leaderLines>
              <c:spPr>
                <a:ln w="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64"/>
                <c:pt idx="0">
                  <c:v>Oficina de turismo</c:v>
                </c:pt>
                <c:pt idx="1">
                  <c:v>Escuela Municipal de Pintura y Barro</c:v>
                </c:pt>
                <c:pt idx="2">
                  <c:v>SAC – El Médano</c:v>
                </c:pt>
                <c:pt idx="3">
                  <c:v>Sala de Estudio El Médano</c:v>
                </c:pt>
                <c:pt idx="4">
                  <c:v>Centro de Fibromialgia</c:v>
                </c:pt>
                <c:pt idx="5">
                  <c:v>Tagoror El Médano</c:v>
                </c:pt>
                <c:pt idx="6">
                  <c:v>Edificio M3</c:v>
                </c:pt>
                <c:pt idx="7">
                  <c:v>Tanatorio - El Médano</c:v>
                </c:pt>
                <c:pt idx="8">
                  <c:v>Tercera Edad El Médano</c:v>
                </c:pt>
                <c:pt idx="9">
                  <c:v>WC – Plaza El Médano</c:v>
                </c:pt>
                <c:pt idx="10">
                  <c:v>Auditorio y WC – Los Cardones</c:v>
                </c:pt>
                <c:pt idx="11">
                  <c:v>Centro Juvenil Los Cardones</c:v>
                </c:pt>
                <c:pt idx="12">
                  <c:v>Sala de Estudio Los Cardones</c:v>
                </c:pt>
                <c:pt idx="13">
                  <c:v>Mercado del Agricultor</c:v>
                </c:pt>
                <c:pt idx="14">
                  <c:v>Casa de La Cultura San Isidro</c:v>
                </c:pt>
                <c:pt idx="15">
                  <c:v>APANATE – Centro de Autismo</c:v>
                </c:pt>
                <c:pt idx="16">
                  <c:v>Tercera Edad San Isidro</c:v>
                </c:pt>
                <c:pt idx="17">
                  <c:v>Terrero de Lucha</c:v>
                </c:pt>
                <c:pt idx="18">
                  <c:v>Centro Cívico Casablanca</c:v>
                </c:pt>
                <c:pt idx="19">
                  <c:v>Centro Cívico Atogo</c:v>
                </c:pt>
                <c:pt idx="20">
                  <c:v>SAC – San Isidro</c:v>
                </c:pt>
                <c:pt idx="21">
                  <c:v>SIEC – San Isidro Espacio Cívico</c:v>
                </c:pt>
                <c:pt idx="22">
                  <c:v>UTE Servicios Sociales – San Isidro</c:v>
                </c:pt>
                <c:pt idx="23">
                  <c:v>SAC – Granadilla</c:v>
                </c:pt>
                <c:pt idx="24">
                  <c:v>Informática Ayto</c:v>
                </c:pt>
                <c:pt idx="25">
                  <c:v>Pabellón de Deportes</c:v>
                </c:pt>
                <c:pt idx="26">
                  <c:v>Tercera Edad Granadilla</c:v>
                </c:pt>
                <c:pt idx="27">
                  <c:v>Espacio Cultural El Secadero</c:v>
                </c:pt>
                <c:pt idx="28">
                  <c:v>Concejalía de Educación</c:v>
                </c:pt>
                <c:pt idx="29">
                  <c:v>Biblioteca y Convento de Granadilla</c:v>
                </c:pt>
                <c:pt idx="30">
                  <c:v>Concejalía de Servicios Sociales</c:v>
                </c:pt>
                <c:pt idx="31">
                  <c:v>Museo de Granadilla</c:v>
                </c:pt>
                <c:pt idx="32">
                  <c:v>AEDL – Agencia de Desarrollo Local</c:v>
                </c:pt>
                <c:pt idx="33">
                  <c:v>Concejalía de Cultura</c:v>
                </c:pt>
                <c:pt idx="34">
                  <c:v>Las Crucitas – Aula de Agricultura</c:v>
                </c:pt>
                <c:pt idx="35">
                  <c:v>Policía Local</c:v>
                </c:pt>
                <c:pt idx="36">
                  <c:v>CADI – C. Atención a la Diversidad</c:v>
                </c:pt>
                <c:pt idx="37">
                  <c:v>Centro de Parkinson</c:v>
                </c:pt>
                <c:pt idx="38">
                  <c:v>Casa de La Juventud – Granadilla</c:v>
                </c:pt>
                <c:pt idx="39">
                  <c:v>Escuela Municipal de Música – María de Las Casas</c:v>
                </c:pt>
                <c:pt idx="40">
                  <c:v>Centro de Día Charco del Pino</c:v>
                </c:pt>
                <c:pt idx="41">
                  <c:v>Tercera Edad Charco del Pino</c:v>
                </c:pt>
                <c:pt idx="42">
                  <c:v>Casa de La Cultura Charco del Pino</c:v>
                </c:pt>
                <c:pt idx="43">
                  <c:v>WC Polideportivo Charco del Pino (Prescolar CEIP)</c:v>
                </c:pt>
                <c:pt idx="44">
                  <c:v>Casa de La Cultura de El Salto</c:v>
                </c:pt>
                <c:pt idx="45">
                  <c:v>Centro Cívico Cruz de Tea</c:v>
                </c:pt>
                <c:pt idx="46">
                  <c:v>Casa de La Cultura de Chimiche</c:v>
                </c:pt>
                <c:pt idx="47">
                  <c:v>Local Social Las Vegas</c:v>
                </c:pt>
                <c:pt idx="48">
                  <c:v>Local Social Las Vegas</c:v>
                </c:pt>
                <c:pt idx="49">
                  <c:v>Centro Cívico Vicácaro</c:v>
                </c:pt>
                <c:pt idx="50">
                  <c:v>Local Social Los Blanquitos</c:v>
                </c:pt>
                <c:pt idx="51">
                  <c:v>Local Social El Desierto</c:v>
                </c:pt>
                <c:pt idx="52">
                  <c:v>Policía Local Aeropuerto</c:v>
                </c:pt>
                <c:pt idx="53">
                  <c:v>WC Cementerio</c:v>
                </c:pt>
                <c:pt idx="54">
                  <c:v>WC Merendero</c:v>
                </c:pt>
                <c:pt idx="55">
                  <c:v>SAC – Los Abrigos</c:v>
                </c:pt>
                <c:pt idx="56">
                  <c:v>Tanatorio – Los Abrigos</c:v>
                </c:pt>
                <c:pt idx="57">
                  <c:v>Casa de la Juventud – Los Abrigos</c:v>
                </c:pt>
                <c:pt idx="58">
                  <c:v>Centro de Mayores – Los Abrigos</c:v>
                </c:pt>
                <c:pt idx="59">
                  <c:v>Protección Civil</c:v>
                </c:pt>
                <c:pt idx="60">
                  <c:v>Campo Fútbol San Isidro</c:v>
                </c:pt>
                <c:pt idx="61">
                  <c:v>Campo Fútbol Granadilla</c:v>
                </c:pt>
                <c:pt idx="62">
                  <c:v>Campo Fútbol Charco del Pino</c:v>
                </c:pt>
                <c:pt idx="63">
                  <c:v>Campo Fútbol Médano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64"/>
                <c:pt idx="0">
                  <c:v>268.666666666667</c:v>
                </c:pt>
                <c:pt idx="1">
                  <c:v>234</c:v>
                </c:pt>
                <c:pt idx="2">
                  <c:v>277.333333333333</c:v>
                </c:pt>
                <c:pt idx="3">
                  <c:v>277.333333333333</c:v>
                </c:pt>
                <c:pt idx="4">
                  <c:v>338</c:v>
                </c:pt>
                <c:pt idx="5">
                  <c:v>268.666666666667</c:v>
                </c:pt>
                <c:pt idx="6">
                  <c:v>1313</c:v>
                </c:pt>
                <c:pt idx="7">
                  <c:v>156</c:v>
                </c:pt>
                <c:pt idx="8">
                  <c:v>81.4666666666667</c:v>
                </c:pt>
                <c:pt idx="9">
                  <c:v>26</c:v>
                </c:pt>
                <c:pt idx="10">
                  <c:v>39</c:v>
                </c:pt>
                <c:pt idx="11">
                  <c:v>65</c:v>
                </c:pt>
                <c:pt idx="12">
                  <c:v>65</c:v>
                </c:pt>
                <c:pt idx="13">
                  <c:v>546</c:v>
                </c:pt>
                <c:pt idx="14">
                  <c:v>1018.33333333333</c:v>
                </c:pt>
                <c:pt idx="15">
                  <c:v>26</c:v>
                </c:pt>
                <c:pt idx="16">
                  <c:v>208</c:v>
                </c:pt>
                <c:pt idx="17">
                  <c:v>468</c:v>
                </c:pt>
                <c:pt idx="18">
                  <c:v>21.6666666666667</c:v>
                </c:pt>
                <c:pt idx="19">
                  <c:v>26</c:v>
                </c:pt>
                <c:pt idx="20">
                  <c:v>658.666666666667</c:v>
                </c:pt>
                <c:pt idx="21">
                  <c:v>1612</c:v>
                </c:pt>
                <c:pt idx="22">
                  <c:v>632.666666666667</c:v>
                </c:pt>
                <c:pt idx="23">
                  <c:v>112.666666666667</c:v>
                </c:pt>
                <c:pt idx="24">
                  <c:v>117</c:v>
                </c:pt>
                <c:pt idx="25">
                  <c:v>1083.33333333333</c:v>
                </c:pt>
                <c:pt idx="26">
                  <c:v>52</c:v>
                </c:pt>
                <c:pt idx="27">
                  <c:v>104</c:v>
                </c:pt>
                <c:pt idx="28">
                  <c:v>589.333333333333</c:v>
                </c:pt>
                <c:pt idx="29">
                  <c:v>520</c:v>
                </c:pt>
                <c:pt idx="30">
                  <c:v>520</c:v>
                </c:pt>
                <c:pt idx="31">
                  <c:v>390</c:v>
                </c:pt>
                <c:pt idx="32">
                  <c:v>135.2</c:v>
                </c:pt>
                <c:pt idx="33">
                  <c:v>429</c:v>
                </c:pt>
                <c:pt idx="34">
                  <c:v>138.666666666667</c:v>
                </c:pt>
                <c:pt idx="35">
                  <c:v>520</c:v>
                </c:pt>
                <c:pt idx="36">
                  <c:v>390</c:v>
                </c:pt>
                <c:pt idx="37">
                  <c:v>104</c:v>
                </c:pt>
                <c:pt idx="38">
                  <c:v>650</c:v>
                </c:pt>
                <c:pt idx="39">
                  <c:v>758.333333333333</c:v>
                </c:pt>
                <c:pt idx="40">
                  <c:v>130</c:v>
                </c:pt>
                <c:pt idx="41">
                  <c:v>216.666666666667</c:v>
                </c:pt>
                <c:pt idx="42">
                  <c:v>156</c:v>
                </c:pt>
                <c:pt idx="43">
                  <c:v>15.6</c:v>
                </c:pt>
                <c:pt idx="44">
                  <c:v>43.3333333333333</c:v>
                </c:pt>
                <c:pt idx="45">
                  <c:v>52</c:v>
                </c:pt>
                <c:pt idx="46">
                  <c:v>63.2666666666667</c:v>
                </c:pt>
                <c:pt idx="47">
                  <c:v>26</c:v>
                </c:pt>
                <c:pt idx="48">
                  <c:v>78</c:v>
                </c:pt>
                <c:pt idx="49">
                  <c:v>69.3333333333333</c:v>
                </c:pt>
                <c:pt idx="50">
                  <c:v>83.2</c:v>
                </c:pt>
                <c:pt idx="51">
                  <c:v>52</c:v>
                </c:pt>
                <c:pt idx="52">
                  <c:v>26</c:v>
                </c:pt>
                <c:pt idx="53">
                  <c:v>31.2</c:v>
                </c:pt>
                <c:pt idx="54">
                  <c:v>31.2</c:v>
                </c:pt>
                <c:pt idx="55">
                  <c:v>216.666666666667</c:v>
                </c:pt>
                <c:pt idx="56">
                  <c:v>60.6666666666667</c:v>
                </c:pt>
                <c:pt idx="57">
                  <c:v>260</c:v>
                </c:pt>
                <c:pt idx="58">
                  <c:v>117</c:v>
                </c:pt>
                <c:pt idx="59">
                  <c:v>26</c:v>
                </c:pt>
                <c:pt idx="60">
                  <c:v>650</c:v>
                </c:pt>
                <c:pt idx="61">
                  <c:v>520</c:v>
                </c:pt>
                <c:pt idx="62">
                  <c:v>390</c:v>
                </c:pt>
                <c:pt idx="63">
                  <c:v>650</c:v>
                </c:pt>
              </c:numCache>
            </c:numRef>
          </c:val>
        </c:ser>
        <c:gapWidth val="100"/>
        <c:overlap val="0"/>
        <c:axId val="47876486"/>
        <c:axId val="73162422"/>
      </c:barChart>
      <c:catAx>
        <c:axId val="4787648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000" b="0" u="none" strike="noStrike">
                <a:solidFill>
                  <a:srgbClr val="000000"/>
                </a:solidFill>
                <a:uFillTx/>
                <a:latin typeface="Arial"/>
                <a:ea typeface="DejaVu Sans"/>
              </a:defRPr>
            </a:pPr>
          </a:p>
        </c:txPr>
        <c:crossAx val="73162422"/>
        <c:crosses val="autoZero"/>
        <c:auto val="1"/>
        <c:lblAlgn val="ctr"/>
        <c:lblOffset val="100"/>
        <c:noMultiLvlLbl val="0"/>
      </c:catAx>
      <c:valAx>
        <c:axId val="73162422"/>
        <c:scaling>
          <c:orientation val="minMax"/>
        </c:scaling>
        <c:delete val="0"/>
        <c:axPos val="l"/>
        <c:majorGridlines>
          <c:spPr>
            <a:ln w="0">
              <a:solidFill>
                <a:srgbClr val="B3B3B3"/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000" b="0" u="none" strike="noStrike">
                <a:solidFill>
                  <a:srgbClr val="000000"/>
                </a:solidFill>
                <a:uFillTx/>
                <a:latin typeface="Arial"/>
                <a:ea typeface="DejaVu Sans"/>
              </a:defRPr>
            </a:pPr>
          </a:p>
        </c:txPr>
        <c:crossAx val="47876486"/>
        <c:crosses val="autoZero"/>
        <c:crossBetween val="midCat"/>
      </c:valAx>
      <c:spPr>
        <a:noFill/>
        <a:ln w="0">
          <a:solidFill>
            <a:srgbClr val="B3B3B3"/>
          </a:solidFill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sz="1000" b="0" u="none" strike="noStrike">
              <a:solidFill>
                <a:srgbClr val="000000"/>
              </a:solidFill>
              <a:uFillTx/>
              <a:latin typeface="Arial"/>
              <a:ea typeface="DejaVu Sans"/>
            </a:defRPr>
          </a:pPr>
        </a:p>
      </c:txPr>
    </c:legend>
    <c:plotVisOnly val="1"/>
    <c:dispBlanksAs val="gap"/>
  </c:chart>
  <c:spPr>
    <a:solidFill>
      <a:srgbClr val="FFFFFF"/>
    </a:solidFill>
    <a:ln w="0">
      <a:noFill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c:chart>
    <c:title>
      <c:tx>
        <c:rich>
          <a:bodyPr rot="0"/>
          <a:lstStyle/>
          <a:p>
            <a:pPr>
              <a:defRPr sz="1300" b="0" u="none" strike="noStrike">
                <a:uFillTx/>
                <a:latin typeface="Arial"/>
              </a:defRPr>
            </a:pPr>
            <a:r>
              <a:rPr sz="1300" b="0" u="none" strike="noStrike">
                <a:solidFill>
                  <a:srgbClr val="000000"/>
                </a:solidFill>
                <a:uFillTx/>
                <a:latin typeface="Arial"/>
                <a:ea typeface="DejaVu Sans"/>
              </a:rPr>
              <a:t>SOLICITUDES REGISTRADAS EN EL EJERCICIO 2025</a:t>
            </a:r>
          </a:p>
        </c:rich>
      </c:tx>
      <c:overlay val="0"/>
      <c:spPr>
        <a:noFill/>
        <a:ln w="0">
          <a:noFill/>
        </a:ln>
      </c:spPr>
    </c:title>
    <c:autoTitleDeleted val="0"/>
    <c:view3D>
      <c:rotX val="11"/>
      <c:rotY val="25"/>
      <c:rAngAx val="1"/>
      <c:perspective val="40"/>
    </c:view3D>
    <c:floor>
      <c:spPr>
        <a:solidFill>
          <a:srgbClr val="CCCCCC"/>
        </a:solidFill>
        <a:ln w="0">
          <a:noFill/>
        </a:ln>
      </c:spPr>
    </c:floor>
    <c:sideWall>
      <c:spPr>
        <a:noFill/>
        <a:ln w="0">
          <a:solidFill>
            <a:srgbClr val="B3B3B3"/>
          </a:solidFill>
        </a:ln>
      </c:spPr>
    </c:sideWall>
    <c:backWall>
      <c:spPr>
        <a:noFill/>
        <a:ln w="0">
          <a:solidFill>
            <a:srgbClr val="B3B3B3"/>
          </a:solidFill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SAC Charco del Pino</c:v>
                </c:pt>
              </c:strCache>
            </c:strRef>
          </c:tx>
          <c:spPr>
            <a:solidFill>
              <a:srgbClr val="FF420E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none"/>
              <a:lstStyle/>
              <a:p>
                <a:pPr>
                  <a:defRPr sz="1000" b="0" u="none" strike="noStrike">
                    <a:solidFill>
                      <a:srgbClr val="000000"/>
                    </a:solidFill>
                    <a:uFillTx/>
                    <a:latin typeface="Arial"/>
                    <a:ea typeface="DejaVu San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 </c:separator>
            <c:showLeaderLines val="1"/>
            <c:leaderLines>
              <c:spPr>
                <a:ln w="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"/>
                <c:pt idx="0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1"/>
                <c:pt idx="0">
                  <c:v>177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SAC Chimiche</c:v>
                </c:pt>
              </c:strCache>
            </c:strRef>
          </c:tx>
          <c:spPr>
            <a:solidFill>
              <a:srgbClr val="FFD320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none"/>
              <a:lstStyle/>
              <a:p>
                <a:pPr>
                  <a:defRPr sz="1000" b="0" u="none" strike="noStrike">
                    <a:solidFill>
                      <a:srgbClr val="000000"/>
                    </a:solidFill>
                    <a:uFillTx/>
                    <a:latin typeface="Arial"/>
                    <a:ea typeface="DejaVu San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 </c:separator>
            <c:showLeaderLines val="1"/>
            <c:leaderLines>
              <c:spPr>
                <a:ln w="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"/>
                <c:pt idx="0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1"/>
                <c:pt idx="0">
                  <c:v>187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SAC Granadilla</c:v>
                </c:pt>
              </c:strCache>
            </c:strRef>
          </c:tx>
          <c:spPr>
            <a:solidFill>
              <a:srgbClr val="579D1C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none"/>
              <a:lstStyle/>
              <a:p>
                <a:pPr>
                  <a:defRPr sz="1000" b="0" u="none" strike="noStrike">
                    <a:solidFill>
                      <a:srgbClr val="000000"/>
                    </a:solidFill>
                    <a:uFillTx/>
                    <a:latin typeface="Arial"/>
                    <a:ea typeface="DejaVu San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 </c:separator>
            <c:showLeaderLines val="1"/>
            <c:leaderLines>
              <c:spPr>
                <a:ln w="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"/>
                <c:pt idx="0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1"/>
                <c:pt idx="0">
                  <c:v>10824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SAC Los Abrigos</c:v>
                </c:pt>
              </c:strCache>
            </c:strRef>
          </c:tx>
          <c:spPr>
            <a:solidFill>
              <a:srgbClr val="7E0021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none"/>
              <a:lstStyle/>
              <a:p>
                <a:pPr>
                  <a:defRPr sz="1000" b="0" u="none" strike="noStrike">
                    <a:solidFill>
                      <a:srgbClr val="000000"/>
                    </a:solidFill>
                    <a:uFillTx/>
                    <a:latin typeface="Arial"/>
                    <a:ea typeface="DejaVu San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 </c:separator>
            <c:showLeaderLines val="1"/>
            <c:leaderLines>
              <c:spPr>
                <a:ln w="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"/>
                <c:pt idx="0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1"/>
                <c:pt idx="0">
                  <c:v>5518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SAC San Isidro</c:v>
                </c:pt>
              </c:strCache>
            </c:strRef>
          </c:tx>
          <c:spPr>
            <a:solidFill>
              <a:srgbClr val="83CAFF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none"/>
              <a:lstStyle/>
              <a:p>
                <a:pPr>
                  <a:defRPr sz="1000" b="0" u="none" strike="noStrike">
                    <a:solidFill>
                      <a:srgbClr val="000000"/>
                    </a:solidFill>
                    <a:uFillTx/>
                    <a:latin typeface="Arial"/>
                    <a:ea typeface="DejaVu San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 </c:separator>
            <c:showLeaderLines val="1"/>
            <c:leaderLines>
              <c:spPr>
                <a:ln w="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"/>
                <c:pt idx="0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1"/>
                <c:pt idx="0">
                  <c:v>19225</c:v>
                </c:pt>
              </c:numCache>
            </c:numRef>
          </c:val>
        </c:ser>
        <c:gapWidth val="100"/>
        <c:shape val="box"/>
        <c:axId val="69491215"/>
        <c:axId val="39147832"/>
        <c:axId val="0"/>
      </c:bar3DChart>
      <c:bar3DChart>
        <c:barDir val="col"/>
        <c:grouping val="clustered"/>
        <c:varyColors val="0"/>
        <c:ser>
          <c:idx val="5"/>
          <c:order val="5"/>
          <c:tx>
            <c:strRef>
              <c:f>label 5</c:f>
              <c:strCache>
                <c:ptCount val="1"/>
                <c:pt idx="0">
                  <c:v>SAC El Médano</c:v>
                </c:pt>
              </c:strCache>
            </c:strRef>
          </c:tx>
          <c:spPr>
            <a:solidFill>
              <a:srgbClr val="004586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none"/>
              <a:lstStyle/>
              <a:p>
                <a:pPr>
                  <a:defRPr sz="1000" b="0" u="none" strike="noStrike">
                    <a:solidFill>
                      <a:srgbClr val="000000"/>
                    </a:solidFill>
                    <a:uFillTx/>
                    <a:latin typeface="Arial"/>
                    <a:ea typeface="DejaVu San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 </c:separator>
            <c:showLeaderLines val="1"/>
            <c:leaderLines>
              <c:spPr>
                <a:ln w="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"/>
                <c:pt idx="0">
                  <c:v/>
                </c:pt>
              </c:strCache>
            </c:strRef>
          </c:cat>
          <c:val>
            <c:numRef>
              <c:f>5</c:f>
              <c:numCache>
                <c:formatCode>General</c:formatCode>
                <c:ptCount val="1"/>
                <c:pt idx="0">
                  <c:v>10386</c:v>
                </c:pt>
              </c:numCache>
            </c:numRef>
          </c:val>
        </c:ser>
        <c:gapWidth val="100"/>
        <c:shape val="box"/>
        <c:axId val="89436202"/>
        <c:axId val="41833924"/>
        <c:axId val="0"/>
      </c:bar3DChart>
      <c:catAx>
        <c:axId val="69491215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000" b="0" u="none" strike="noStrike">
                <a:solidFill>
                  <a:srgbClr val="000000"/>
                </a:solidFill>
                <a:uFillTx/>
                <a:latin typeface="Arial"/>
                <a:ea typeface="DejaVu Sans"/>
              </a:defRPr>
            </a:pPr>
          </a:p>
        </c:txPr>
        <c:crossAx val="39147832"/>
        <c:crosses val="autoZero"/>
        <c:auto val="1"/>
        <c:lblAlgn val="ctr"/>
        <c:lblOffset val="100"/>
        <c:noMultiLvlLbl val="0"/>
      </c:catAx>
      <c:valAx>
        <c:axId val="39147832"/>
        <c:scaling>
          <c:orientation val="minMax"/>
        </c:scaling>
        <c:delete val="0"/>
        <c:axPos val="l"/>
        <c:majorGridlines>
          <c:spPr>
            <a:ln w="0">
              <a:solidFill>
                <a:srgbClr val="B3B3B3"/>
              </a:solidFill>
            </a:ln>
          </c:spPr>
        </c:majorGridlines>
        <c:title>
          <c:tx>
            <c:rich>
              <a:bodyPr rot="-5400000"/>
              <a:lstStyle/>
              <a:p>
                <a:pPr>
                  <a:defRPr sz="1300" b="0" u="none" strike="noStrike">
                    <a:uFillTx/>
                    <a:latin typeface="Arial"/>
                  </a:defRPr>
                </a:pPr>
                <a:r>
                  <a:rPr sz="900" b="0" u="none" strike="noStrike">
                    <a:solidFill>
                      <a:srgbClr val="000000"/>
                    </a:solidFill>
                    <a:uFillTx/>
                    <a:latin typeface="Arial"/>
                    <a:ea typeface="DejaVu Sans"/>
                  </a:rPr>
                  <a:t>NÚMERO DE SOLICITUES</a:t>
                </a:r>
              </a:p>
            </c:rich>
          </c:tx>
          <c:overlay val="0"/>
          <c:spPr>
            <a:noFill/>
            <a:ln w="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000" b="0" u="none" strike="noStrike">
                <a:solidFill>
                  <a:srgbClr val="000000"/>
                </a:solidFill>
                <a:uFillTx/>
                <a:latin typeface="Arial"/>
                <a:ea typeface="DejaVu Sans"/>
              </a:defRPr>
            </a:pPr>
          </a:p>
        </c:txPr>
        <c:crossAx val="69491215"/>
        <c:crosses val="autoZero"/>
        <c:crossBetween val="between"/>
      </c:valAx>
      <c:catAx>
        <c:axId val="89436202"/>
        <c:scaling>
          <c:orientation val="minMax"/>
        </c:scaling>
        <c:delete val="1"/>
        <c:axPos val="t"/>
        <c:numFmt formatCode="[$-C0A]dd/mm/yyyy" sourceLinked="1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000" b="0" u="none" strike="noStrike">
                <a:solidFill>
                  <a:srgbClr val="000000"/>
                </a:solidFill>
                <a:uFillTx/>
                <a:latin typeface="Arial"/>
                <a:ea typeface="DejaVu Sans"/>
              </a:defRPr>
            </a:pPr>
          </a:p>
        </c:txPr>
        <c:crossAx val="41833924"/>
        <c:auto val="1"/>
        <c:lblAlgn val="ctr"/>
        <c:lblOffset val="100"/>
        <c:noMultiLvlLbl val="0"/>
      </c:catAx>
      <c:valAx>
        <c:axId val="41833924"/>
        <c:scaling>
          <c:orientation val="minMax"/>
        </c:scaling>
        <c:delete val="0"/>
        <c:axPos val="r"/>
        <c:numFmt formatCode="General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000" b="0" u="none" strike="noStrike">
                <a:solidFill>
                  <a:srgbClr val="000000"/>
                </a:solidFill>
                <a:uFillTx/>
                <a:latin typeface="Arial"/>
                <a:ea typeface="DejaVu Sans"/>
              </a:defRPr>
            </a:pPr>
          </a:p>
        </c:txPr>
        <c:crossAx val="89436202"/>
        <c:crosses val="max"/>
        <c:crossBetween val="between"/>
      </c:valAx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sz="1000" b="0" u="none" strike="noStrike">
              <a:solidFill>
                <a:srgbClr val="000000"/>
              </a:solidFill>
              <a:uFillTx/>
              <a:latin typeface="Arial"/>
              <a:ea typeface="DejaVu Sans"/>
            </a:defRPr>
          </a:pPr>
        </a:p>
      </c:txPr>
    </c:legend>
    <c:plotVisOnly val="1"/>
    <c:dispBlanksAs val="gap"/>
  </c:chart>
  <c:spPr>
    <a:solidFill>
      <a:srgbClr val="FFFFFF"/>
    </a:solidFill>
    <a:ln w="0">
      <a:noFill/>
    </a:ln>
  </c:spPr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c:chart>
    <c:title>
      <c:tx>
        <c:rich>
          <a:bodyPr rot="0"/>
          <a:lstStyle/>
          <a:p>
            <a:pPr>
              <a:defRPr sz="1300" b="0" u="none" strike="noStrike">
                <a:uFillTx/>
                <a:latin typeface="Arial"/>
              </a:defRPr>
            </a:pPr>
            <a:r>
              <a:rPr sz="1300" b="0" u="none" strike="noStrike">
                <a:solidFill>
                  <a:srgbClr val="000000"/>
                </a:solidFill>
                <a:uFillTx/>
                <a:latin typeface="Arial"/>
                <a:ea typeface="DejaVu Sans"/>
              </a:rPr>
              <a:t>NÚMERO DE LLAMADAS RECIBIDAS </a:t>
            </a:r>
          </a:p>
          <a:p>
            <a:pPr>
              <a:defRPr sz="1300" b="0" u="none" strike="noStrike">
                <a:uFillTx/>
                <a:latin typeface="Arial"/>
              </a:defRPr>
            </a:pPr>
            <a:r>
              <a:rPr sz="1300" b="0" u="none" strike="noStrike">
                <a:solidFill>
                  <a:srgbClr val="000000"/>
                </a:solidFill>
                <a:uFillTx/>
                <a:latin typeface="Arial"/>
                <a:ea typeface="DejaVu Sans"/>
              </a:rPr>
              <a:t>EN EL EJERCICIO 2025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5625"/>
          <c:y val="0.217"/>
          <c:w val="0.7034375"/>
          <c:h val="0.570333333333333"/>
        </c:manualLayout>
      </c:layout>
      <c:lineChart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llamadas</c:v>
                </c:pt>
              </c:strCache>
            </c:strRef>
          </c:tx>
          <c:spPr>
            <a:solidFill>
              <a:srgbClr val="0C8CC9"/>
            </a:solidFill>
            <a:ln w="28800">
              <a:solidFill>
                <a:srgbClr val="0C8CC9"/>
              </a:solidFill>
              <a:round/>
            </a:ln>
          </c:spPr>
          <c:marker>
            <c:symbol val="square"/>
            <c:size val="8"/>
            <c:spPr>
              <a:solidFill>
                <a:srgbClr val="0C8CC9"/>
              </a:solidFill>
            </c:spPr>
          </c:marker>
          <c:dPt>
            <c:idx val="0"/>
            <c:marker>
              <c:symbol val="square"/>
              <c:size val="8"/>
              <c:spPr>
                <a:solidFill>
                  <a:srgbClr val="0C8CC9"/>
                </a:solidFill>
              </c:spPr>
            </c:marker>
          </c:dPt>
          <c:dPt>
            <c:idx val="6"/>
            <c:marker>
              <c:symbol val="square"/>
              <c:size val="8"/>
              <c:spPr>
                <a:solidFill>
                  <a:srgbClr val="0C8CC9"/>
                </a:solidFill>
              </c:spPr>
            </c:marker>
          </c:dPt>
          <c:dLbls>
            <c:dLbl>
              <c:idx val="0"/>
              <c:layout>
                <c:manualLayout>
                  <c:x val="0"/>
                  <c:y val="-0.0176705934652145"/>
                </c:manualLayout>
              </c:layout>
              <c:numFmt formatCode="General" sourceLinked="0"/>
              <c:txPr>
                <a:bodyPr wrap="none"/>
                <a:lstStyle/>
                <a:p>
                  <a:pPr>
                    <a:defRPr sz="1000" b="0" u="none" strike="noStrike">
                      <a:solidFill>
                        <a:srgbClr val="000000"/>
                      </a:solidFill>
                      <a:uFillTx/>
                      <a:latin typeface="Arial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eparator> </c:separator>
            </c:dLbl>
            <c:dLbl>
              <c:idx val="6"/>
              <c:layout>
                <c:manualLayout>
                  <c:x val="0.0398149884367773"/>
                  <c:y val="0.0175575063895989"/>
                </c:manualLayout>
              </c:layout>
              <c:numFmt formatCode="General" sourceLinked="0"/>
              <c:txPr>
                <a:bodyPr wrap="none"/>
                <a:lstStyle/>
                <a:p>
                  <a:pPr>
                    <a:defRPr sz="1000" b="0" u="none" strike="noStrike">
                      <a:solidFill>
                        <a:srgbClr val="000000"/>
                      </a:solidFill>
                      <a:uFillTx/>
                      <a:latin typeface="Arial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eparator> </c:separator>
            </c:dLbl>
            <c:numFmt formatCode="General" sourceLinked="0"/>
            <c:txPr>
              <a:bodyPr wrap="none"/>
              <a:lstStyle/>
              <a:p>
                <a:pPr>
                  <a:defRPr sz="1000" b="0" u="none" strike="noStrike">
                    <a:solidFill>
                      <a:srgbClr val="000000"/>
                    </a:solidFill>
                    <a:uFillTx/>
                    <a:latin typeface="Arial"/>
                    <a:ea typeface="DejaVu San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eparator> </c:separator>
            <c:showLeaderLines val="1"/>
            <c:leaderLines>
              <c:spPr>
                <a:ln w="2880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2"/>
                <c:pt idx="0">
                  <c:v>5700</c:v>
                </c:pt>
                <c:pt idx="1">
                  <c:v>5746</c:v>
                </c:pt>
                <c:pt idx="2">
                  <c:v>5985</c:v>
                </c:pt>
                <c:pt idx="3">
                  <c:v>6922</c:v>
                </c:pt>
                <c:pt idx="4">
                  <c:v>7573</c:v>
                </c:pt>
                <c:pt idx="5">
                  <c:v>7642</c:v>
                </c:pt>
                <c:pt idx="6">
                  <c:v>6734</c:v>
                </c:pt>
                <c:pt idx="7">
                  <c:v>6492</c:v>
                </c:pt>
                <c:pt idx="8">
                  <c:v>7944</c:v>
                </c:pt>
                <c:pt idx="9">
                  <c:v>7423</c:v>
                </c:pt>
                <c:pt idx="10">
                  <c:v>9505</c:v>
                </c:pt>
                <c:pt idx="11">
                  <c:v>7953</c:v>
                </c:pt>
              </c:numCache>
            </c:numRef>
          </c:val>
          <c:smooth val="0"/>
        </c:ser>
        <c:hiLowLines>
          <c:spPr>
            <a:ln w="0">
              <a:noFill/>
            </a:ln>
          </c:spPr>
        </c:hiLowLines>
        <c:marker val="1"/>
        <c:axId val="82462662"/>
        <c:axId val="18170874"/>
      </c:lineChart>
      <c:catAx>
        <c:axId val="8246266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000" b="0" u="none" strike="noStrike">
                <a:solidFill>
                  <a:srgbClr val="000000"/>
                </a:solidFill>
                <a:uFillTx/>
                <a:latin typeface="Arial"/>
                <a:ea typeface="DejaVu Sans"/>
              </a:defRPr>
            </a:pPr>
          </a:p>
        </c:txPr>
        <c:crossAx val="18170874"/>
        <c:crosses val="autoZero"/>
        <c:auto val="1"/>
        <c:lblAlgn val="ctr"/>
        <c:lblOffset val="100"/>
        <c:noMultiLvlLbl val="0"/>
      </c:catAx>
      <c:valAx>
        <c:axId val="18170874"/>
        <c:scaling>
          <c:orientation val="minMax"/>
        </c:scaling>
        <c:delete val="0"/>
        <c:axPos val="l"/>
        <c:majorGridlines>
          <c:spPr>
            <a:ln w="0">
              <a:solidFill>
                <a:srgbClr val="B3B3B3"/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000" b="0" u="none" strike="noStrike">
                <a:solidFill>
                  <a:srgbClr val="000000"/>
                </a:solidFill>
                <a:uFillTx/>
                <a:latin typeface="Arial"/>
                <a:ea typeface="DejaVu Sans"/>
              </a:defRPr>
            </a:pPr>
          </a:p>
        </c:txPr>
        <c:crossAx val="82462662"/>
        <c:crossesAt val="1"/>
        <c:crossBetween val="midCat"/>
      </c:valAx>
      <c:spPr>
        <a:noFill/>
        <a:ln w="0">
          <a:solidFill>
            <a:srgbClr val="B3B3B3"/>
          </a:solidFill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sz="1000" b="0" u="none" strike="noStrike">
              <a:solidFill>
                <a:srgbClr val="000000"/>
              </a:solidFill>
              <a:uFillTx/>
              <a:latin typeface="Arial"/>
              <a:ea typeface="DejaVu Sans"/>
            </a:defRPr>
          </a:pPr>
        </a:p>
      </c:txPr>
    </c:legend>
    <c:plotVisOnly val="1"/>
    <c:dispBlanksAs val="gap"/>
  </c:chart>
  <c:spPr>
    <a:solidFill>
      <a:srgbClr val="FFFFFF"/>
    </a:solidFill>
    <a:ln w="0">
      <a:noFill/>
    </a:ln>
  </c:spPr>
</c:chartSpace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LibreOffice/26.2.4.2$Windows_X86_64 LibreOffice_project/0229ac93fcf0d7cbc6376066c6f35021cef002dc</Application>
  <AppVersion>15.0000</AppVersion>
  <Pages>6</Pages>
  <Words>155</Words>
  <Characters>854</Characters>
  <CharactersWithSpaces>982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2025-04-09T08:11:52Z</dcterms:created>
  <dc:creator/>
  <dc:description/>
  <dc:language>es-ES</dc:language>
  <cp:lastModifiedBy/>
  <dcterms:modified xsi:type="dcterms:W3CDTF">2026-06-19T09:40:51Z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