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emf" ContentType="image/x-emf"/>
  <Override PartName="/word/media/image2.emf" ContentType="image/x-emf"/>
  <Override PartName="/word/numbering.xml" ContentType="application/vnd.openxmlformats-officedocument.wordprocessingml.numbering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-4169410</wp:posOffset>
                </wp:positionH>
                <wp:positionV relativeFrom="paragraph">
                  <wp:posOffset>3653790</wp:posOffset>
                </wp:positionV>
                <wp:extent cx="7520940" cy="531495"/>
                <wp:effectExtent l="16510" t="1270" r="16510" b="127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15000">
                          <a:off x="0" y="0"/>
                          <a:ext cx="7521120" cy="53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fals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Servicios Municipales de Granadilla de Abona, S.L. B38711248, Lugar Plaza Gonzalez, Mena s/n, 38600, Granadilla de Abona. Tf: 922 758 116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-328.3pt;margin-top:287.7pt;width:592.15pt;height:41.8pt;mso-wrap-style:square;v-text-anchor:middle;rotation:270" type="_x0000_t202">
                <v:textbox>
                  <w:txbxContent>
                    <w:p>
                      <w:pPr>
                        <w:kinsoku w:val="true"/>
                        <w:overflowPunct w:val="fals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Servicios Municipales de Granadilla de Abona, S.L. B38711248, Lugar Plaza Gonzalez, Mena s/n, 38600, Granadilla de Abona. Tf: 922 758 116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</w:r>
    </w:p>
    <w:p>
      <w:pPr>
        <w:pStyle w:val="Normal"/>
        <w:ind w:hanging="0" w:start="0" w:end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ACTA DE LA MESA DE CONTRATACIÓN</w:t>
      </w:r>
    </w:p>
    <w:p>
      <w:pPr>
        <w:pStyle w:val="Normal"/>
        <w:ind w:hanging="0"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/>
      </w:pPr>
      <w:r>
        <w:rPr>
          <w:rStyle w:val="Textoennegrita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4"/>
          <w:szCs w:val="24"/>
          <w:shd w:fill="auto" w:val="clear"/>
          <w:lang w:val="es-ES" w:eastAsia="zh-CN" w:bidi="ar-SA"/>
        </w:rPr>
        <w:t>Suministro señales viales verticales y pintura para las señales viales horizontales para los servicios de mantenimiento de vias publicas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Fecha y hora de celebración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13 de enero de 2026 a las 10:15:00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Lugar de celebración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Sala de comisiones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Asistentes</w:t>
      </w:r>
    </w:p>
    <w:p>
      <w:pPr>
        <w:pStyle w:val="Normal"/>
        <w:ind w:hanging="0" w:start="0" w:end="0"/>
        <w:jc w:val="both"/>
        <w:rPr>
          <w:b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D. Marcos Antonio Rodríguez Santana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SECRETARIO</w:t>
      </w:r>
    </w:p>
    <w:p>
      <w:pPr>
        <w:pStyle w:val="Normal"/>
        <w:ind w:hanging="0" w:start="0" w:end="0"/>
        <w:rPr>
          <w:rFonts w:ascii="Arial" w:hAnsi="Arial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D. Manuel Ortiz Correa,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vocal y secretario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VOCALES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Dña. Andamana  Gaspar  Sosa, </w:t>
      </w:r>
      <w:r>
        <w:rPr>
          <w:rFonts w:ascii="Arial" w:hAnsi="Arial"/>
          <w:sz w:val="24"/>
          <w:szCs w:val="24"/>
        </w:rPr>
        <w:t>vocal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D. José Manuel  Luis Pérez, vocal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Orden del día</w:t>
      </w:r>
    </w:p>
    <w:p>
      <w:pPr>
        <w:pStyle w:val="Normal"/>
        <w:ind w:hanging="0" w:start="0" w:end="0"/>
        <w:jc w:val="center"/>
        <w:rPr>
          <w:b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both"/>
        <w:rPr>
          <w:b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1.- Apertura y calificación administrativa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2.- </w:t>
      </w:r>
      <w:r>
        <w:rPr>
          <w:rFonts w:ascii="Arial" w:hAnsi="Arial"/>
          <w:color w:val="000000"/>
          <w:sz w:val="24"/>
          <w:szCs w:val="24"/>
        </w:rPr>
        <w:t>Apertura criterios evaluables automáticamente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3.- </w:t>
      </w:r>
      <w:r>
        <w:rPr>
          <w:rFonts w:ascii="Arial" w:hAnsi="Arial"/>
          <w:color w:val="000000"/>
          <w:sz w:val="24"/>
          <w:szCs w:val="24"/>
        </w:rPr>
        <w:t>Valoración criterios evaluables automáticamente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4.- Propuesta adjudicación</w:t>
      </w:r>
    </w:p>
    <w:p>
      <w:pPr>
        <w:pStyle w:val="Normal"/>
        <w:ind w:hanging="0" w:start="0" w:end="0"/>
        <w:jc w:val="both"/>
        <w:rPr>
          <w:b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Se Expone</w:t>
      </w:r>
    </w:p>
    <w:p>
      <w:pPr>
        <w:pStyle w:val="Normal"/>
        <w:ind w:hanging="0" w:start="0" w:end="0"/>
        <w:jc w:val="center"/>
        <w:rPr>
          <w:b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1.- Apertura y calificación administrativa: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Han concurrido las siguientes empresas: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NIF: B14053854 Estampaciones casado SL  </w:t>
      </w:r>
      <w:r>
        <w:rPr>
          <w:rFonts w:ascii="Arial" w:hAnsi="Arial"/>
          <w:color w:val="000000"/>
          <w:sz w:val="24"/>
          <w:szCs w:val="24"/>
        </w:rPr>
        <w:t>Para el Lote 1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NIF: B59720987 PROSEÑAL, S.L.U. </w:t>
      </w:r>
      <w:r>
        <w:rPr>
          <w:rFonts w:ascii="Arial" w:hAnsi="Arial"/>
          <w:color w:val="000000"/>
          <w:sz w:val="24"/>
          <w:szCs w:val="24"/>
        </w:rPr>
        <w:t>Para ambos lotes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Tras la revisión de la documentación aportada por los licitadores la mesa concluye lo siguiente: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Admitir a los siguientes licitadores: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B14053854 Estampaciones casado SL . Señalización vertical.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B59720987 PROSEÑAL, S.L.U.. Señalización vertical, Señalización horizontal.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Tras la revisión de la documentación aportada por los licitadores la mesa concluye lo siguiente: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2.- Apertura criterios evaluables automáticamente: 6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Se procede a la apertura de los sobres de aquellas empresas que hayan sido admitidas: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NIF: B14053854 Estampaciones casado SL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B59720987 PROSEÑAL, S.L.U.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La documentación aportada por los licitadores es aportada a los técnicos para su correspondiente evaluación.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Se suspende la sesión siendo las 10:40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Se reanuda la sesión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20</w:t>
      </w:r>
      <w:r>
        <w:rPr>
          <w:rFonts w:ascii="Arial" w:hAnsi="Arial"/>
          <w:color w:val="000000"/>
          <w:sz w:val="24"/>
          <w:szCs w:val="24"/>
        </w:rPr>
        <w:t xml:space="preserve"> de enero de 2026 a las 10:1</w:t>
      </w:r>
      <w:r>
        <w:rPr>
          <w:rFonts w:ascii="Arial" w:hAnsi="Arial"/>
          <w:color w:val="000000"/>
          <w:sz w:val="24"/>
          <w:szCs w:val="24"/>
        </w:rPr>
        <w:t>0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Lugar de celebración</w:t>
      </w:r>
    </w:p>
    <w:p>
      <w:pPr>
        <w:pStyle w:val="Normal"/>
        <w:ind w:hanging="0"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Sala de comisiones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documentación aportada por los licitadores es aportada a los técnicos para su correspondiente evaluación que se transcribe a continuación: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  <w:tab w:val="left" w:pos="720" w:leader="none"/>
        </w:tabs>
        <w:spacing w:lineRule="auto" w:line="240" w:before="8" w:after="0"/>
        <w:ind w:hanging="0" w:start="360" w:end="0"/>
        <w:rPr>
          <w:rFonts w:ascii="Arial" w:hAnsi="Arial" w:cs="Verdana"/>
          <w:b w:val="false"/>
          <w:bCs w:val="false"/>
          <w:color w:val="000000"/>
          <w:spacing w:val="5"/>
          <w:sz w:val="24"/>
          <w:szCs w:val="24"/>
          <w:lang w:val="es-ES"/>
        </w:rPr>
      </w:pPr>
      <w:r>
        <w:rPr>
          <w:rFonts w:cs="Verdana" w:ascii="Arial" w:hAnsi="Arial"/>
          <w:b w:val="false"/>
          <w:bCs w:val="false"/>
          <w:color w:val="000000"/>
          <w:spacing w:val="5"/>
          <w:sz w:val="24"/>
          <w:szCs w:val="24"/>
          <w:lang w:val="es-ES"/>
        </w:rPr>
        <w:t>Cláusulas de valoración.</w:t>
      </w:r>
    </w:p>
    <w:p>
      <w:pPr>
        <w:pStyle w:val="Normal"/>
        <w:tabs>
          <w:tab w:val="clear" w:pos="709"/>
          <w:tab w:val="left" w:pos="360" w:leader="none"/>
          <w:tab w:val="left" w:pos="720" w:leader="none"/>
        </w:tabs>
        <w:spacing w:lineRule="auto" w:line="240" w:before="8" w:after="0"/>
        <w:ind w:hanging="0" w:start="360" w:end="0"/>
        <w:rPr>
          <w:rFonts w:ascii="Arial" w:hAnsi="Arial" w:cs="Verdana"/>
          <w:b w:val="false"/>
          <w:bCs w:val="false"/>
          <w:color w:val="000000"/>
          <w:spacing w:val="5"/>
          <w:sz w:val="24"/>
          <w:szCs w:val="24"/>
          <w:lang w:val="es-ES"/>
        </w:rPr>
      </w:pPr>
      <w:r>
        <w:rPr>
          <w:rFonts w:cs="Verdana" w:ascii="Arial" w:hAnsi="Arial"/>
          <w:b w:val="false"/>
          <w:bCs w:val="false"/>
          <w:color w:val="000000"/>
          <w:spacing w:val="5"/>
          <w:sz w:val="24"/>
          <w:szCs w:val="24"/>
          <w:lang w:val="es-ES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Criterios de adjudicación </w:t>
      </w:r>
      <w:r>
        <w:rPr>
          <w:rFonts w:cs="Verdana" w:ascii="Arial" w:hAnsi="Arial"/>
          <w:b/>
          <w:i w:val="false"/>
          <w:iCs w:val="false"/>
          <w:sz w:val="24"/>
          <w:szCs w:val="24"/>
          <w:shd w:fill="auto" w:val="clear"/>
        </w:rPr>
        <w:t xml:space="preserve">cuantitativos </w:t>
      </w:r>
      <w:r>
        <w:rPr>
          <w:rFonts w:cs="Verdana" w:ascii="Arial" w:hAnsi="Arial"/>
          <w:b/>
          <w:i w:val="false"/>
          <w:iCs w:val="false"/>
          <w:sz w:val="24"/>
          <w:szCs w:val="24"/>
          <w:shd w:fill="auto" w:val="clear"/>
        </w:rPr>
        <w:t>100 puntos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: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</w:r>
    </w:p>
    <w:tbl>
      <w:tblPr>
        <w:tblW w:w="6281" w:type="dxa"/>
        <w:jc w:val="start"/>
        <w:tblInd w:w="148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08"/>
        <w:gridCol w:w="1573"/>
      </w:tblGrid>
      <w:tr>
        <w:trPr/>
        <w:tc>
          <w:tcPr>
            <w:tcW w:w="4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-720" w:leader="none"/>
              </w:tabs>
              <w:spacing w:lineRule="auto" w:line="240"/>
              <w:jc w:val="both"/>
              <w:rPr>
                <w:rFonts w:ascii="Arial" w:hAnsi="Arial" w:cs="Arial"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CRITERIOS DE ADJUDICACIÓN EVALUABLES</w:t>
            </w:r>
          </w:p>
          <w:p>
            <w:pPr>
              <w:pStyle w:val="Normal"/>
              <w:tabs>
                <w:tab w:val="clear" w:pos="709"/>
                <w:tab w:val="left" w:pos="-720" w:leader="none"/>
              </w:tabs>
              <w:spacing w:lineRule="auto" w:line="240"/>
              <w:jc w:val="both"/>
              <w:rPr>
                <w:rFonts w:ascii="Arial" w:hAnsi="Arial" w:cs="Arial"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MEDIANTE FÓRMULAS O PARÁMETROS OBJETIVOS:</w:t>
            </w:r>
          </w:p>
          <w:p>
            <w:pPr>
              <w:pStyle w:val="Normal"/>
              <w:tabs>
                <w:tab w:val="clear" w:pos="709"/>
                <w:tab w:val="left" w:pos="-720" w:leader="none"/>
              </w:tabs>
              <w:spacing w:lineRule="auto" w:line="240"/>
              <w:jc w:val="both"/>
              <w:rPr>
                <w:rFonts w:ascii="Arial" w:hAnsi="Arial" w:cs="Arial"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hasta un máximo de 100 puntos</w:t>
            </w:r>
          </w:p>
        </w:tc>
        <w:tc>
          <w:tcPr>
            <w:tcW w:w="1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-720" w:leader="none"/>
              </w:tabs>
              <w:snapToGrid w:val="false"/>
              <w:spacing w:lineRule="auto" w:line="240"/>
              <w:jc w:val="both"/>
              <w:rPr>
                <w:rFonts w:ascii="Arial" w:hAnsi="Arial" w:cs="Arial"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-720" w:leader="none"/>
              </w:tabs>
              <w:spacing w:lineRule="auto" w:line="240"/>
              <w:jc w:val="both"/>
              <w:rPr>
                <w:rFonts w:ascii="Arial" w:hAnsi="Arial" w:cs="Arial"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VALORACIÓN en puntos</w:t>
            </w:r>
          </w:p>
        </w:tc>
      </w:tr>
    </w:tbl>
    <w:p>
      <w:pPr>
        <w:pStyle w:val="Normal"/>
        <w:tabs>
          <w:tab w:val="clear" w:pos="709"/>
          <w:tab w:val="left" w:pos="-720" w:leader="none"/>
        </w:tabs>
        <w:spacing w:lineRule="auto" w:line="240"/>
        <w:jc w:val="both"/>
        <w:rPr>
          <w:rFonts w:ascii="Arial" w:hAnsi="Arial" w:cs="Arial"/>
          <w:b/>
          <w:bCs/>
          <w:i/>
          <w:iCs/>
          <w:sz w:val="24"/>
          <w:szCs w:val="24"/>
          <w:shd w:fill="auto" w:val="clear"/>
        </w:rPr>
      </w:pPr>
      <w:r>
        <w:rPr>
          <w:rFonts w:cs="Arial" w:ascii="Arial" w:hAnsi="Arial"/>
          <w:b/>
          <w:bCs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cs="Verdana" w:ascii="Arial" w:hAnsi="Arial"/>
          <w:sz w:val="24"/>
          <w:szCs w:val="24"/>
          <w:shd w:fill="auto" w:val="clear"/>
        </w:rPr>
        <w:tab/>
        <w:t>*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En cuanto al criterio económico (hasta 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100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 puntos):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Los licitadores han de ofertar un listado de precios unitarios, 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sin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 IGIC, para cada una de las </w:t>
      </w:r>
      <w:r>
        <w:rPr>
          <w:rFonts w:eastAsia="SimSun;宋体" w:cs="Verdana" w:ascii="Arial" w:hAnsi="Arial"/>
          <w:i w:val="false"/>
          <w:iCs w:val="false"/>
          <w:color w:val="auto"/>
          <w:kern w:val="2"/>
          <w:sz w:val="24"/>
          <w:szCs w:val="24"/>
          <w:shd w:fill="auto" w:val="clear"/>
          <w:lang w:val="es-ES" w:eastAsia="zh-CN" w:bidi="hi-IN"/>
        </w:rPr>
        <w:t>elementos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 a suministrar detalladas, sin que superen los precios máximos por unidad establecidos en la cláusula 2 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(Anexo I)</w:t>
      </w: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 xml:space="preserve"> del presente Pliego.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La valoración de este criterio se hará aplicando la siguiente fórmula: P=(pm x mo)/O; siendo: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P= puntuación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pm= puntuación máxima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mo = mejor oferta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Cs w:val="false"/>
          <w:sz w:val="24"/>
          <w:szCs w:val="24"/>
          <w:shd w:fill="auto" w:val="clear"/>
        </w:rPr>
      </w:pPr>
      <w:r>
        <w:rPr>
          <w:rFonts w:cs="Verdana" w:ascii="Arial" w:hAnsi="Arial"/>
          <w:i w:val="false"/>
          <w:iCs w:val="false"/>
          <w:sz w:val="24"/>
          <w:szCs w:val="24"/>
          <w:shd w:fill="auto" w:val="clear"/>
        </w:rPr>
        <w:t>O = valor cuantitativo de la oferta que se valora</w:t>
      </w:r>
    </w:p>
    <w:p>
      <w:pPr>
        <w:pStyle w:val="Normal"/>
        <w:spacing w:lineRule="auto" w:line="240"/>
        <w:jc w:val="both"/>
        <w:rPr>
          <w:rFonts w:ascii="Arial" w:hAnsi="Arial" w:cs="Verdana"/>
          <w:i w:val="false"/>
          <w:iCs w:val="false"/>
          <w:sz w:val="24"/>
          <w:szCs w:val="24"/>
          <w:shd w:fill="auto" w:val="clear"/>
        </w:rPr>
      </w:pPr>
      <w:r>
        <w:rPr>
          <w:rStyle w:val="Fuentedeprrafopredeter"/>
          <w:rFonts w:cs="Verdana" w:ascii="Arial" w:hAnsi="Arial"/>
          <w:i w:val="false"/>
          <w:iCs w:val="false"/>
          <w:color w:val="000000"/>
          <w:sz w:val="24"/>
          <w:szCs w:val="24"/>
          <w:shd w:fill="auto" w:val="clear"/>
        </w:rPr>
        <w:tab/>
        <w:t xml:space="preserve">Se darán puntos por cada material ponderándolo individualmente como se indica </w:t>
      </w:r>
      <w:r>
        <w:rPr>
          <w:rStyle w:val="Fuentedeprrafopredeter"/>
          <w:rFonts w:cs="Verdana" w:ascii="Arial" w:hAnsi="Arial"/>
          <w:i w:val="false"/>
          <w:iCs w:val="false"/>
          <w:color w:val="000000"/>
          <w:sz w:val="24"/>
          <w:szCs w:val="24"/>
          <w:shd w:fill="auto" w:val="clear"/>
        </w:rPr>
        <w:t>en el Anexo I</w:t>
      </w:r>
      <w:r>
        <w:rPr>
          <w:rStyle w:val="Fuentedeprrafopredeter"/>
          <w:rFonts w:cs="Verdana" w:ascii="Arial" w:hAnsi="Arial"/>
          <w:i w:val="false"/>
          <w:iCs w:val="false"/>
          <w:color w:val="000000"/>
          <w:sz w:val="24"/>
          <w:szCs w:val="24"/>
          <w:shd w:fill="auto" w:val="clear"/>
        </w:rPr>
        <w:t>, del sumatorio de puntos individuales se obtendrá la puntuación final de cada licitador</w:t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>Lote 1, Señalización vertical se presentador dos licitadores obteniendo cada uno de ellos la siguiente puntuación:</w:t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 xml:space="preserve">Estampaciones Casado Sl 98,54 puntos y Proseñal SLU 85,35 puntos </w:t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sz w:val="24"/>
          <w:szCs w:val="24"/>
        </w:rPr>
      </w:pPr>
      <w:r>
        <w:rPr/>
        <w:object w:dxaOrig="14927" w:dyaOrig="19396">
          <v:shapetype id="_x0000_tole_rId2" coordsize="21600,21600" o:spt="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39.55pt;margin-top:13.95pt;width:555.7pt;height:630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1203891547" r:id="rId2"/>
        </w:objec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 xml:space="preserve"> </w:t>
      </w:r>
      <w:r>
        <w:rPr>
          <w:rStyle w:val="Fuentedeprrafopredeter"/>
          <w:rFonts w:ascii="Arial" w:hAnsi="Arial"/>
          <w:sz w:val="24"/>
          <w:szCs w:val="24"/>
        </w:rPr>
        <w:t xml:space="preserve">Obtiene la mejor puntuación  </w:t>
      </w:r>
      <w:r>
        <w:rPr>
          <w:rStyle w:val="Fuentedeprrafopredeter"/>
          <w:rFonts w:ascii="Arial" w:hAnsi="Arial"/>
          <w:sz w:val="24"/>
          <w:szCs w:val="24"/>
        </w:rPr>
        <w:t>ESTAMPACIONES CASADO para el Lote 1.</w:t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>Lote 2, Señalización horizontal, se comprueba la oferta del único licitador obteniendo la máxima puntuación:</w:t>
      </w:r>
    </w:p>
    <w:p>
      <w:pPr>
        <w:pStyle w:val="Normal"/>
        <w:spacing w:lineRule="auto" w:line="240"/>
        <w:jc w:val="both"/>
        <w:rPr/>
      </w:pPr>
      <w:r>
        <w:rPr>
          <w:rStyle w:val="Fuentedeprrafopredeter"/>
          <w:rFonts w:ascii="Arial" w:hAnsi="Arial"/>
          <w:sz w:val="24"/>
          <w:szCs w:val="24"/>
        </w:rPr>
        <w:t>Proseñal SLU 100 puntos .</w:t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 w:cs="Verdana"/>
          <w:b w:val="false"/>
          <w:bCs w:val="false"/>
          <w:color w:val="000000"/>
          <w:spacing w:val="5"/>
          <w:sz w:val="24"/>
          <w:szCs w:val="24"/>
          <w:u w:val="none"/>
          <w:lang w:val="es-ES"/>
        </w:rPr>
      </w:pPr>
      <w:r>
        <w:rPr/>
      </w:r>
    </w:p>
    <w:p>
      <w:pPr>
        <w:pStyle w:val="Normal"/>
        <w:spacing w:lineRule="auto" w:line="240"/>
        <w:jc w:val="both"/>
        <w:rPr>
          <w:rStyle w:val="Fuentedeprrafopredeter"/>
          <w:rFonts w:ascii="Arial" w:hAnsi="Arial" w:cs="Verdana"/>
          <w:b w:val="false"/>
          <w:bCs w:val="false"/>
          <w:color w:val="000000"/>
          <w:spacing w:val="5"/>
          <w:sz w:val="24"/>
          <w:szCs w:val="24"/>
          <w:u w:val="none"/>
          <w:lang w:val="es-ES"/>
        </w:rPr>
      </w:pPr>
      <w:r>
        <w:rPr/>
        <w:object w:dxaOrig="15568" w:dyaOrig="4069">
          <v:shapetype id="_x0000_tole_rId4" coordsize="21600,21600" o:spt="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-17.15pt;margin-top:0pt;width:516.25pt;height:134.9pt;mso-position-horizontal-relative:text;mso-position-vertical-relative:text" filled="f" o:ole="">
            <v:imagedata r:id="rId5" o:title=""/>
            <w10:wrap type="square" side="largest"/>
          </v:shape>
          <o:OLEObject Type="Embed" ProgID="Excel.Sheet.12" ShapeID="ole_rId4" DrawAspect="Content" ObjectID="_599392683" r:id="rId4"/>
        </w:objec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3.- Valoración criterios evaluables automáticamente: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Una vez remitida la información por el equipo técnico, éste ha valorado las proposiciones técnicas de acuerdo a los criterios del PCAP de la siguiente manera: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B14053854 Estampaciones casado SL :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</w:t>
      </w:r>
      <w:r>
        <w:rPr>
          <w:rFonts w:ascii="Arial" w:hAnsi="Arial"/>
          <w:color w:val="000000"/>
          <w:sz w:val="24"/>
          <w:szCs w:val="24"/>
        </w:rPr>
        <w:t>Lote</w:t>
      </w:r>
      <w:r>
        <w:rPr>
          <w:rFonts w:ascii="Arial" w:hAnsi="Arial"/>
          <w:color w:val="000000"/>
          <w:sz w:val="24"/>
          <w:szCs w:val="24"/>
        </w:rPr>
        <w:t xml:space="preserve"> 1 - Señalización vertical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</w:t>
      </w:r>
      <w:r>
        <w:rPr>
          <w:rFonts w:ascii="Arial" w:hAnsi="Arial"/>
          <w:color w:val="000000"/>
          <w:sz w:val="24"/>
          <w:szCs w:val="24"/>
        </w:rPr>
        <w:t>- PRECIO    Puntuación: 98.54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NIF: B59720987 PROSEÑAL, S.L.U.: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</w:t>
      </w:r>
      <w:r>
        <w:rPr>
          <w:rFonts w:ascii="Arial" w:hAnsi="Arial"/>
          <w:color w:val="000000"/>
          <w:sz w:val="24"/>
          <w:szCs w:val="24"/>
        </w:rPr>
        <w:t>Lote</w:t>
      </w:r>
      <w:r>
        <w:rPr>
          <w:rFonts w:ascii="Arial" w:hAnsi="Arial"/>
          <w:color w:val="000000"/>
          <w:sz w:val="24"/>
          <w:szCs w:val="24"/>
        </w:rPr>
        <w:t xml:space="preserve"> 1 - Señalización vertical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</w:t>
      </w:r>
      <w:r>
        <w:rPr>
          <w:rFonts w:ascii="Arial" w:hAnsi="Arial"/>
          <w:color w:val="000000"/>
          <w:sz w:val="24"/>
          <w:szCs w:val="24"/>
        </w:rPr>
        <w:t>- PRECIO     Puntuación: 85.35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</w:t>
      </w:r>
      <w:r>
        <w:rPr>
          <w:rFonts w:ascii="Arial" w:hAnsi="Arial"/>
          <w:color w:val="000000"/>
          <w:sz w:val="24"/>
          <w:szCs w:val="24"/>
        </w:rPr>
        <w:t xml:space="preserve">Lote </w:t>
      </w:r>
      <w:r>
        <w:rPr>
          <w:rFonts w:ascii="Arial" w:hAnsi="Arial"/>
          <w:color w:val="000000"/>
          <w:sz w:val="24"/>
          <w:szCs w:val="24"/>
        </w:rPr>
        <w:t xml:space="preserve"> 2 - Señalización horizontal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</w:t>
      </w:r>
      <w:r>
        <w:rPr>
          <w:rFonts w:ascii="Arial" w:hAnsi="Arial"/>
          <w:color w:val="000000"/>
          <w:sz w:val="24"/>
          <w:szCs w:val="24"/>
        </w:rPr>
        <w:t>- PRECIO     Puntuación: 100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4.- Propuesta adjudicación: 6-2025 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De acuerdo a la evaluación de las propuestas aportadas por los licitadores, la mesa concluye la siguiente lista ordenada de manera decreciente de puntuación de acuerdo a las puntuaciones obtenidas por los licitadores en las diferentes fases: 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color w:val="000000"/>
          <w:sz w:val="24"/>
          <w:szCs w:val="24"/>
        </w:rPr>
        <w:t xml:space="preserve">Lote </w:t>
      </w:r>
      <w:r>
        <w:rPr>
          <w:rFonts w:ascii="Arial" w:hAnsi="Arial"/>
          <w:color w:val="000000"/>
          <w:sz w:val="24"/>
          <w:szCs w:val="24"/>
        </w:rPr>
        <w:t>1 - Señalización vertical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Orden: 1NIF: B14053854 Estampaciones casado SL  Propuesto para la adjudicación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Total puntuación: 98.54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Orden: 2NIF: B59720987 PROSEÑAL, S.L.U.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Total puntuación: 85.35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Lote</w:t>
      </w:r>
      <w:r>
        <w:rPr>
          <w:rFonts w:ascii="Arial" w:hAnsi="Arial"/>
          <w:color w:val="000000"/>
          <w:sz w:val="24"/>
          <w:szCs w:val="24"/>
        </w:rPr>
        <w:t xml:space="preserve"> 2 - Señalización horizontal</w:t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Orden: 1NIF: B59720987 PROSEÑAL, S.L.U. Propuesto para la adjudicación</w:t>
      </w:r>
    </w:p>
    <w:p>
      <w:pPr>
        <w:pStyle w:val="Normal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Total puntuación: 100</w:t>
      </w:r>
    </w:p>
    <w:p>
      <w:pPr>
        <w:pStyle w:val="Normal"/>
        <w:ind w:hanging="0" w:start="0" w:end="0"/>
        <w:jc w:val="start"/>
        <w:rPr/>
      </w:pPr>
      <w:r>
        <w:rPr>
          <w:rStyle w:val="Fuentedeprrafopredeter"/>
          <w:rFonts w:eastAsia="Arial Unicode MS" w:cs="Verdana" w:ascii="Arial" w:hAnsi="Arial"/>
          <w:b w:val="false"/>
          <w:bCs w:val="false"/>
          <w:i/>
          <w:iCs/>
          <w:color w:val="000000"/>
          <w:spacing w:val="5"/>
          <w:kern w:val="2"/>
          <w:sz w:val="24"/>
          <w:szCs w:val="24"/>
          <w:u w:val="none"/>
          <w:lang w:val="es-ES" w:eastAsia="zh-CN" w:bidi="ar-SA"/>
        </w:rPr>
        <w:t xml:space="preserve"> 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Yo, como Secretario, certifico con el visto bueno del Presidente: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>Manuel Ortiz Correa</w:t>
        <w:tab/>
        <w:tab/>
        <w:tab/>
        <w:tab/>
        <w:tab/>
        <w:tab/>
      </w:r>
      <w:r>
        <w:rPr>
          <w:rFonts w:ascii="Arial" w:hAnsi="Arial"/>
          <w:sz w:val="24"/>
          <w:szCs w:val="24"/>
        </w:rPr>
        <w:t>Marcos Antonio Rodríguez Santana</w:t>
      </w:r>
      <w:r>
        <w:rPr>
          <w:rFonts w:ascii="Arial" w:hAnsi="Arial"/>
          <w:sz w:val="24"/>
          <w:szCs w:val="24"/>
        </w:rPr>
        <w:t>.</w:t>
        <w:tab/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SECRETARIO</w:t>
        <w:tab/>
      </w:r>
      <w:r>
        <w:rPr>
          <w:rFonts w:ascii="Arial" w:hAnsi="Arial"/>
          <w:sz w:val="24"/>
          <w:szCs w:val="24"/>
        </w:rPr>
        <w:t>Y VOCAL</w:t>
      </w:r>
      <w:r>
        <w:rPr>
          <w:rFonts w:ascii="Arial" w:hAnsi="Arial"/>
          <w:sz w:val="24"/>
          <w:szCs w:val="24"/>
        </w:rPr>
        <w:tab/>
        <w:tab/>
        <w:tab/>
        <w:tab/>
        <w:tab/>
        <w:t>PRESIDENTE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ª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Andamana Gaspar Sosa</w:t>
      </w:r>
      <w:r>
        <w:rPr>
          <w:rFonts w:ascii="Arial" w:hAnsi="Arial"/>
          <w:sz w:val="24"/>
          <w:szCs w:val="24"/>
        </w:rPr>
        <w:tab/>
        <w:tab/>
        <w:tab/>
        <w:tab/>
        <w:tab/>
        <w:t xml:space="preserve">D. </w:t>
      </w:r>
      <w:r>
        <w:rPr>
          <w:rFonts w:ascii="Arial" w:hAnsi="Arial"/>
          <w:sz w:val="24"/>
          <w:szCs w:val="24"/>
        </w:rPr>
        <w:t>Jose Manuel Luis Pérez</w:t>
      </w:r>
    </w:p>
    <w:p>
      <w:pPr>
        <w:pStyle w:val="Normal"/>
        <w:ind w:hanging="0"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VOCA</w:t>
      </w:r>
      <w:r>
        <w:rPr>
          <w:rFonts w:ascii="Arial" w:hAnsi="Arial"/>
          <w:sz w:val="24"/>
          <w:szCs w:val="24"/>
        </w:rPr>
        <w:t>L</w:t>
        <w:tab/>
        <w:tab/>
        <w:tab/>
        <w:t xml:space="preserve"> </w:t>
        <w:tab/>
        <w:tab/>
        <w:tab/>
        <w:tab/>
        <w:tab/>
      </w:r>
      <w:r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>OCAL</w:t>
      </w:r>
    </w:p>
    <w:sectPr>
      <w:headerReference w:type="default" r:id="rId6"/>
      <w:footerReference w:type="default" r:id="rId7"/>
      <w:type w:val="nextPage"/>
      <w:pgSz w:w="11906" w:h="16838"/>
      <w:pgMar w:left="1134" w:right="1134" w:gutter="0" w:header="1134" w:top="3034" w:footer="1134" w:bottom="19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enter" w:pos="0" w:leader="none"/>
      </w:tabs>
      <w:jc w:val="both"/>
      <w:rPr>
        <w:sz w:val="16"/>
        <w:szCs w:val="16"/>
        <w:lang w:val="es-ES" w:eastAsia="es-ES"/>
      </w:rPr>
    </w:pP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>E</w:t>
    </w: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 xml:space="preserve">xpediente de contratación  </w:t>
    </w:r>
    <w:r>
      <w:rPr>
        <w:rFonts w:eastAsia="NSimSun" w:cs="Arial" w:ascii="Times New Roman" w:hAnsi="Times New Roman"/>
        <w:i w:val="false"/>
        <w:iCs w:val="false"/>
        <w:color w:val="000000"/>
        <w:kern w:val="2"/>
        <w:sz w:val="20"/>
        <w:szCs w:val="16"/>
        <w:lang w:val="es-ES" w:eastAsia="zh-CN" w:bidi="hi-IN"/>
      </w:rPr>
      <w:t xml:space="preserve">  6-2025 - Suministro señales viales verticales y pintura</w:t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203960" cy="851535"/>
          <wp:effectExtent l="0" t="0" r="0" b="0"/>
          <wp:docPr id="2" name="Imagen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  <w:drawing>
        <wp:anchor distT="0" distB="0" distL="0" distR="0" simplePos="0" relativeHeight="21" behindDoc="0" locked="0" layoutInCell="0" allowOverlap="1">
          <wp:simplePos x="0" y="0"/>
          <wp:positionH relativeFrom="column">
            <wp:posOffset>6180455</wp:posOffset>
          </wp:positionH>
          <wp:positionV relativeFrom="paragraph">
            <wp:posOffset>8246745</wp:posOffset>
          </wp:positionV>
          <wp:extent cx="477520" cy="930275"/>
          <wp:effectExtent l="0" t="0" r="0" b="0"/>
          <wp:wrapSquare wrapText="largest"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Ttu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acteresdenotafinal">
    <w:name w:val="Caracteres de nota final"/>
    <w:qFormat/>
    <w:rPr/>
  </w:style>
  <w:style w:type="character" w:styleId="EndnoteReference">
    <w:name w:val="endnote reference"/>
    <w:rPr>
      <w:vertAlign w:val="superscript"/>
    </w:rPr>
  </w:style>
  <w:style w:type="character" w:styleId="Smbolosdenumeracin">
    <w:name w:val="Símbolos de numeración"/>
    <w:qFormat/>
    <w:rPr/>
  </w:style>
  <w:style w:type="character" w:styleId="Fuentedeprrafopredeter">
    <w:name w:val="Fuente de párrafo predeter."/>
    <w:qFormat/>
    <w:rPr/>
  </w:style>
  <w:style w:type="character" w:styleId="Ninguno">
    <w:name w:val="Ninguno"/>
    <w:qFormat/>
    <w:rPr/>
  </w:style>
  <w:style w:type="character" w:styleId="Textoennegrita">
    <w:name w:val="Texto en negrita"/>
    <w:basedOn w:val="Fuentedeprrafopredeter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EndnoteText">
    <w:name w:val="end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Footer">
    <w:name w:val="foot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es-ES" w:eastAsia="zh-CN" w:bidi="ar-SA"/>
    </w:rPr>
  </w:style>
  <w:style w:type="paragraph" w:styleId="TableParagraph">
    <w:name w:val="Table Paragraph"/>
    <w:basedOn w:val="Normal"/>
    <w:qFormat/>
    <w:pPr>
      <w:widowControl w:val="false"/>
      <w:suppressAutoHyphens w:val="false"/>
      <w:autoSpaceDE w:val="false"/>
    </w:pPr>
    <w:rPr>
      <w:rFonts w:ascii="Arial" w:hAnsi="Arial" w:eastAsia="Arial" w:cs="Arial"/>
      <w:kern w:val="0"/>
      <w:sz w:val="22"/>
      <w:szCs w:val="22"/>
      <w:lang w:bidi="ar-SA"/>
    </w:rPr>
  </w:style>
  <w:style w:type="paragraph" w:styleId="BodyTextIndent">
    <w:name w:val="Body Text Indent"/>
    <w:basedOn w:val="Normal"/>
    <w:pPr>
      <w:ind w:start="708"/>
      <w:jc w:val="both"/>
    </w:pPr>
    <w:rPr>
      <w:rFonts w:ascii="Arial" w:hAnsi="Arial" w:eastAsia="unknown"/>
      <w:color w:val="000000"/>
      <w:sz w:val="26"/>
    </w:rPr>
  </w:style>
  <w:style w:type="paragraph" w:styleId="Ttulodelatabla">
    <w:name w:val="Título de la tabla"/>
    <w:basedOn w:val="Contenidodelatabla"/>
    <w:qFormat/>
    <w:pPr>
      <w:jc w:val="center"/>
    </w:pPr>
    <w:rPr>
      <w:rFonts w:ascii="Arial" w:hAnsi="Arial" w:eastAsia="unknown"/>
      <w:b/>
      <w:bCs/>
      <w:color w:val="00000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309</TotalTime>
  <Application>LibreOffice/26.2.3.2$Windows_X86_64 LibreOffice_project/70e089b17412e4cb7773e41413306b17a2328c34</Application>
  <AppVersion>15.0000</AppVersion>
  <Pages>10</Pages>
  <Words>648</Words>
  <Characters>3776</Characters>
  <CharactersWithSpaces>4468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2021-03-12T12:53:09Z</dcterms:created>
  <dc:creator/>
  <dc:description/>
  <dc:language>es-ES</dc:language>
  <cp:lastModifiedBy/>
  <cp:lastPrinted>2022-04-19T09:50:56Z</cp:lastPrinted>
  <dcterms:modified xsi:type="dcterms:W3CDTF">2026-01-27T16:18:53Z</dcterms:modified>
  <cp:revision>12</cp:revision>
  <dc:subject/>
  <dc:title/>
</cp:coreProperties>
</file>