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emf" ContentType="image/x-emf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mc:AlternateContent>
          <mc:Choice Requires="wps">
            <w:drawing>
              <wp:anchor behindDoc="0" distT="1270" distB="1270" distL="16510" distR="16510" simplePos="0" locked="0" layoutInCell="1" allowOverlap="1" relativeHeight="12">
                <wp:simplePos x="0" y="0"/>
                <wp:positionH relativeFrom="column">
                  <wp:posOffset>-4168775</wp:posOffset>
                </wp:positionH>
                <wp:positionV relativeFrom="paragraph">
                  <wp:posOffset>3653155</wp:posOffset>
                </wp:positionV>
                <wp:extent cx="7520940" cy="531495"/>
                <wp:effectExtent l="16510" t="1270" r="16510" b="127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15000">
                          <a:off x="0" y="0"/>
                          <a:ext cx="7521120" cy="53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bidi w:val="0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4"/>
                                <w:szCs w:val="14"/>
                                <w:lang w:val="es-ES_tradnl"/>
                              </w:rPr>
                              <w:t>Servicios Municipales de Granadilla de Abona, S.L. B38711248, Lugar Plaza Gonzalez, Mena s/n, 38600, Granadilla de Abona. Tf: 922 758 116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stroked="f" o:allowincell="f" style="position:absolute;margin-left:-328.25pt;margin-top:287.65pt;width:592.15pt;height:41.8pt;mso-wrap-style:square;v-text-anchor:middle;rotation:27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bidi w:val="0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sz w:val="14"/>
                          <w:szCs w:val="14"/>
                          <w:lang w:val="es-ES_tradnl"/>
                        </w:rPr>
                        <w:t>Servicios Municipales de Granadilla de Abona, S.L. B38711248, Lugar Plaza Gonzalez, Mena s/n, 38600, Granadilla de Abona. Tf: 922 758 116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</w:r>
    </w:p>
    <w:p>
      <w:pPr>
        <w:pStyle w:val="Normal"/>
        <w:ind w:hanging="0" w:left="0" w:right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ACTA DE LA MESA DE CONTRATACIÓN</w:t>
      </w:r>
    </w:p>
    <w:p>
      <w:pPr>
        <w:pStyle w:val="Normal"/>
        <w:ind w:hanging="0" w:left="0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jc w:val="left"/>
        <w:rPr/>
      </w:pPr>
      <w:r>
        <w:rPr>
          <w:rStyle w:val="Textoennegrita"/>
          <w:rFonts w:eastAsia="Times New Roman" w:cs="Times New Roman" w:ascii="Arial" w:hAnsi="Arial"/>
          <w:b/>
          <w:bCs/>
          <w:i/>
          <w:iCs/>
          <w:color w:val="000000"/>
          <w:spacing w:val="-3"/>
          <w:kern w:val="2"/>
          <w:sz w:val="24"/>
          <w:szCs w:val="24"/>
          <w:shd w:fill="auto" w:val="clear"/>
          <w:lang w:val="es-ES" w:eastAsia="zh-CN" w:bidi="ar-SA"/>
        </w:rPr>
        <w:t>Suministro de bolsas de basura para los servicios de limpieza viaria y limpieza de centros y bolsas compostables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left="0" w:right="0"/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Fecha y hora de celebración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13 de enero de 2026 a las 10:40:00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left="0" w:right="0"/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Lugar de celebración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Sala de comisiones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left="0" w:right="0"/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Asistentes</w:t>
      </w:r>
    </w:p>
    <w:p>
      <w:pPr>
        <w:pStyle w:val="Normal"/>
        <w:ind w:hanging="0" w:left="0" w:right="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D. Marcos Antonio Rodríguez Santana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SECRETARIO</w:t>
      </w:r>
    </w:p>
    <w:p>
      <w:pPr>
        <w:pStyle w:val="Normal"/>
        <w:ind w:hanging="0" w:left="0" w:right="0"/>
        <w:rPr>
          <w:rFonts w:ascii="Arial" w:hAnsi="Arial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D. Manuel Ortiz Correa, vocal y secretario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VOCALES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Dña. Andamana  Gaspar  Sosa, vocal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D. José Manuel  Luis Pérez, vocal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left="0" w:right="0"/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Orden del día</w:t>
      </w:r>
    </w:p>
    <w:p>
      <w:pPr>
        <w:pStyle w:val="Normal"/>
        <w:ind w:hanging="0" w:left="0" w:right="0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hanging="0" w:left="0" w:right="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1.- Apertura y calificación administrativa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2.- </w:t>
      </w:r>
      <w:r>
        <w:rPr>
          <w:rFonts w:ascii="Arial" w:hAnsi="Arial"/>
          <w:color w:val="000000"/>
          <w:sz w:val="24"/>
          <w:szCs w:val="24"/>
        </w:rPr>
        <w:t>Apertura criterios evaluables automáticamente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3.- </w:t>
      </w:r>
      <w:r>
        <w:rPr>
          <w:rFonts w:ascii="Arial" w:hAnsi="Arial"/>
          <w:color w:val="000000"/>
          <w:sz w:val="24"/>
          <w:szCs w:val="24"/>
        </w:rPr>
        <w:t>Valoración criterios evaluables automáticamente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4.- Propuesta adjudicación</w:t>
      </w:r>
    </w:p>
    <w:p>
      <w:pPr>
        <w:pStyle w:val="Normal"/>
        <w:ind w:hanging="0" w:left="0" w:right="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hanging="0" w:left="0" w:right="0"/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Se Expone</w:t>
      </w:r>
    </w:p>
    <w:p>
      <w:pPr>
        <w:pStyle w:val="Normal"/>
        <w:ind w:hanging="0" w:left="0" w:right="0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11.- Apertura y calificación administrativa: 7-2025 - Suministro de bolsas de basura para los servicios de limpieza viaria y limpieza de centros y bolsas compostables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Han concurrido las siguientes empresas:</w:t>
      </w:r>
    </w:p>
    <w:p>
      <w:pPr>
        <w:pStyle w:val="Normal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NIF: B11270097 BENITEZ PAUBLETE SL Fecha de presentación: 30 de diciembre de 2025 a las 12:52:29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NIF: A38101267 CRIS ABORA SA Fecha de presentación: 05 de enero de 2026 a las 17:06:19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NIF: B76787720 PLUS DECOR CANARIAS, S.L. Fecha de presentación: 05 de enero de 2026 a las 14:23:10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Tras la revisión de la documentación aportada por los licitadores la mesa concluye lo siguiente: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Admitir a los siguientes licitadores: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NIF: B11270097 BENITEZ PAUBLETE SL. Bolsas de alta presión polietileno.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NIF: A38101267 CRIS ABORA SA. Bolsas de alta presión polietileno, Bolsas compostables.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NIF: B76787720 PLUS DECOR CANARIAS, S.L.. Bolsas de alta presión polietileno, Bolsas compostables.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Tras la revisión de la documentación aportada por los licitadores la mesa concluye lo siguiente: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Admitir a los siguientes licitadores: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NIF: B14053854 Estampaciones casado SL . Señalización vertical.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NIF: B59720987 PROSEÑAL, S.L.U.. Señalización vertical, Señalización horizontal.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2.- Apertura criterios evaluables automáticamente: </w:t>
      </w:r>
    </w:p>
    <w:p>
      <w:pPr>
        <w:pStyle w:val="Normal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Se procede a la apertura de los sobres de aquellas empresas que hayan sido admitidas: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NIF: B14053854 Estampaciones casado SL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NIF: B59720987 PROSEÑAL, S.L.U.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La documentación aportada por los licitadores es aportada a los técnicos para su correspondiente evaluación.</w:t>
      </w:r>
    </w:p>
    <w:p>
      <w:pPr>
        <w:pStyle w:val="Normal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Se suspende la sesión siendo las 10:40</w:t>
      </w:r>
    </w:p>
    <w:p>
      <w:pPr>
        <w:pStyle w:val="Normal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Se reanuda la sesión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20 de enero de 2026 a las 10:35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left="0" w:right="0"/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Lugar de celebración</w:t>
      </w:r>
    </w:p>
    <w:p>
      <w:pPr>
        <w:pStyle w:val="Normal"/>
        <w:ind w:hanging="0" w:left="0" w:right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Sala de comisiones</w:t>
      </w:r>
    </w:p>
    <w:p>
      <w:pPr>
        <w:pStyle w:val="Normal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 documentación aportada por los licitadores es aportada a los técnicos para su correspondiente evaluación que se transcribe a continuación: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  <w:tab w:val="left" w:pos="720" w:leader="none"/>
        </w:tabs>
        <w:spacing w:lineRule="auto" w:line="240" w:before="8" w:after="0"/>
        <w:ind w:hanging="0" w:left="360" w:right="0"/>
        <w:rPr>
          <w:rFonts w:ascii="Arial" w:hAnsi="Arial" w:cs="Verdana"/>
          <w:b w:val="false"/>
          <w:bCs w:val="false"/>
          <w:color w:val="000000"/>
          <w:spacing w:val="5"/>
          <w:sz w:val="24"/>
          <w:szCs w:val="24"/>
          <w:lang w:val="es-ES"/>
        </w:rPr>
      </w:pPr>
      <w:r>
        <w:rPr>
          <w:rFonts w:cs="Verdana" w:ascii="Arial" w:hAnsi="Arial"/>
          <w:b w:val="false"/>
          <w:bCs w:val="false"/>
          <w:color w:val="000000"/>
          <w:spacing w:val="5"/>
          <w:sz w:val="24"/>
          <w:szCs w:val="24"/>
          <w:lang w:val="es-ES"/>
        </w:rPr>
        <w:t>Cláusulas de valoración.</w:t>
      </w:r>
    </w:p>
    <w:p>
      <w:pPr>
        <w:pStyle w:val="Normal"/>
        <w:tabs>
          <w:tab w:val="clear" w:pos="709"/>
          <w:tab w:val="left" w:pos="360" w:leader="none"/>
          <w:tab w:val="left" w:pos="720" w:leader="none"/>
        </w:tabs>
        <w:spacing w:lineRule="auto" w:line="240" w:before="8" w:after="0"/>
        <w:ind w:hanging="0" w:left="360" w:right="0"/>
        <w:rPr>
          <w:rFonts w:ascii="Arial" w:hAnsi="Arial" w:cs="Verdana"/>
          <w:b w:val="false"/>
          <w:bCs w:val="false"/>
          <w:color w:val="000000"/>
          <w:spacing w:val="5"/>
          <w:sz w:val="24"/>
          <w:szCs w:val="24"/>
          <w:lang w:val="es-ES"/>
        </w:rPr>
      </w:pPr>
      <w:r>
        <w:rPr>
          <w:rFonts w:cs="Verdana" w:ascii="Arial" w:hAnsi="Arial"/>
          <w:b w:val="false"/>
          <w:bCs w:val="false"/>
          <w:color w:val="000000"/>
          <w:spacing w:val="5"/>
          <w:sz w:val="24"/>
          <w:szCs w:val="24"/>
          <w:lang w:val="es-ES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  <w:shd w:fill="auto" w:val="clear"/>
        </w:rPr>
      </w:pP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 xml:space="preserve">Criterios de adjudicación </w:t>
      </w:r>
      <w:r>
        <w:rPr>
          <w:rFonts w:cs="Verdana" w:ascii="Arial" w:hAnsi="Arial"/>
          <w:b/>
          <w:i w:val="false"/>
          <w:iCs w:val="false"/>
          <w:sz w:val="24"/>
          <w:szCs w:val="24"/>
          <w:shd w:fill="auto" w:val="clear"/>
        </w:rPr>
        <w:t>cuantitativos 100 puntos</w:t>
      </w: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>:</w:t>
      </w:r>
    </w:p>
    <w:p>
      <w:pPr>
        <w:pStyle w:val="Normal"/>
        <w:spacing w:lineRule="auto" w:line="240"/>
        <w:jc w:val="both"/>
        <w:rPr>
          <w:rFonts w:ascii="Arial" w:hAnsi="Arial" w:cs="Verdana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</w:r>
    </w:p>
    <w:tbl>
      <w:tblPr>
        <w:tblW w:w="6281" w:type="dxa"/>
        <w:jc w:val="left"/>
        <w:tblInd w:w="14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8"/>
        <w:gridCol w:w="1572"/>
      </w:tblGrid>
      <w:tr>
        <w:trPr/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-720" w:leader="none"/>
              </w:tabs>
              <w:spacing w:lineRule="auto" w:line="240"/>
              <w:jc w:val="both"/>
              <w:rPr>
                <w:rFonts w:ascii="Arial" w:hAnsi="Arial" w:cs="Arial"/>
                <w:i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  <w:t>CRITERIOS DE ADJUDICACIÓN EVALUABLES</w:t>
            </w:r>
          </w:p>
          <w:p>
            <w:pPr>
              <w:pStyle w:val="Normal"/>
              <w:tabs>
                <w:tab w:val="clear" w:pos="709"/>
                <w:tab w:val="left" w:pos="-720" w:leader="none"/>
              </w:tabs>
              <w:spacing w:lineRule="auto" w:line="240"/>
              <w:jc w:val="both"/>
              <w:rPr>
                <w:rFonts w:ascii="Arial" w:hAnsi="Arial" w:cs="Arial"/>
                <w:i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  <w:t>MEDIANTE FÓRMULAS O PARÁMETROS OBJETIVOS:</w:t>
            </w:r>
          </w:p>
          <w:p>
            <w:pPr>
              <w:pStyle w:val="Normal"/>
              <w:tabs>
                <w:tab w:val="clear" w:pos="709"/>
                <w:tab w:val="left" w:pos="-720" w:leader="none"/>
              </w:tabs>
              <w:spacing w:lineRule="auto" w:line="240"/>
              <w:jc w:val="both"/>
              <w:rPr>
                <w:rFonts w:ascii="Arial" w:hAnsi="Arial" w:cs="Arial"/>
                <w:i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  <w:t>hasta un máximo de 100 puntos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-720" w:leader="none"/>
              </w:tabs>
              <w:snapToGrid w:val="false"/>
              <w:spacing w:lineRule="auto" w:line="240"/>
              <w:jc w:val="both"/>
              <w:rPr>
                <w:rFonts w:ascii="Arial" w:hAnsi="Arial" w:cs="Arial"/>
                <w:i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-720" w:leader="none"/>
              </w:tabs>
              <w:spacing w:lineRule="auto" w:line="240"/>
              <w:jc w:val="both"/>
              <w:rPr>
                <w:rFonts w:ascii="Arial" w:hAnsi="Arial" w:cs="Arial"/>
                <w:i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  <w:t>VALORACIÓN en puntos</w:t>
            </w:r>
          </w:p>
        </w:tc>
      </w:tr>
    </w:tbl>
    <w:p>
      <w:pPr>
        <w:pStyle w:val="Normal"/>
        <w:tabs>
          <w:tab w:val="clear" w:pos="709"/>
          <w:tab w:val="left" w:pos="-720" w:leader="none"/>
        </w:tabs>
        <w:spacing w:lineRule="auto" w:line="240"/>
        <w:jc w:val="both"/>
        <w:rPr>
          <w:rFonts w:ascii="Arial" w:hAnsi="Arial" w:cs="Arial"/>
          <w:b/>
          <w:bCs/>
          <w:i/>
          <w:i/>
          <w:iCs/>
          <w:sz w:val="24"/>
          <w:szCs w:val="24"/>
          <w:shd w:fill="auto" w:val="clear"/>
        </w:rPr>
      </w:pPr>
      <w:r>
        <w:rPr>
          <w:rFonts w:cs="Arial" w:ascii="Arial" w:hAnsi="Arial"/>
          <w:b/>
          <w:bCs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  <w:shd w:fill="auto" w:val="clear"/>
        </w:rPr>
      </w:pPr>
      <w:r>
        <w:rPr>
          <w:rFonts w:cs="Verdana" w:ascii="Arial" w:hAnsi="Arial"/>
          <w:sz w:val="24"/>
          <w:szCs w:val="24"/>
          <w:shd w:fill="auto" w:val="clear"/>
        </w:rPr>
        <w:tab/>
        <w:t>*</w:t>
      </w: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>En cuanto al criterio económico (hasta 100 puntos):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  <w:shd w:fill="auto" w:val="clear"/>
        </w:rPr>
      </w:pP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 xml:space="preserve">Los licitadores han de ofertar un listado de precios unitarios, sin IGIC, para cada una de las </w:t>
      </w:r>
      <w:r>
        <w:rPr>
          <w:rFonts w:eastAsia="SimSun;宋体" w:cs="Verdana" w:ascii="Arial" w:hAnsi="Arial"/>
          <w:i w:val="false"/>
          <w:iCs w:val="false"/>
          <w:color w:val="000000"/>
          <w:kern w:val="2"/>
          <w:sz w:val="24"/>
          <w:szCs w:val="24"/>
          <w:shd w:fill="auto" w:val="clear"/>
          <w:lang w:val="es-ES" w:eastAsia="zh-CN" w:bidi="hi-IN"/>
        </w:rPr>
        <w:t>elementos</w:t>
      </w: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 xml:space="preserve"> a suministrar detalladas, sin que superen los precios máximos por unidad establecidos en la cláusula 2 (Anexo I) del presente Pliego.</w:t>
      </w:r>
    </w:p>
    <w:p>
      <w:pPr>
        <w:pStyle w:val="Normal"/>
        <w:spacing w:lineRule="auto" w:line="240"/>
        <w:jc w:val="both"/>
        <w:rPr>
          <w:rFonts w:ascii="Arial" w:hAnsi="Arial" w:cs="Verdana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>La valoración de este criterio se hará aplicando la siguiente fórmula: P=(pm x mo)/O; siendo:</w:t>
      </w:r>
    </w:p>
    <w:p>
      <w:pPr>
        <w:pStyle w:val="Normal"/>
        <w:spacing w:lineRule="auto" w:line="240"/>
        <w:jc w:val="both"/>
        <w:rPr>
          <w:rFonts w:ascii="Arial" w:hAnsi="Arial" w:cs="Verdana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>P= puntuación</w:t>
      </w:r>
    </w:p>
    <w:p>
      <w:pPr>
        <w:pStyle w:val="Normal"/>
        <w:spacing w:lineRule="auto" w:line="240"/>
        <w:jc w:val="both"/>
        <w:rPr>
          <w:rFonts w:ascii="Arial" w:hAnsi="Arial" w:cs="Verdana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>pm= puntuación máxima</w:t>
      </w:r>
    </w:p>
    <w:p>
      <w:pPr>
        <w:pStyle w:val="Normal"/>
        <w:spacing w:lineRule="auto" w:line="240"/>
        <w:jc w:val="both"/>
        <w:rPr>
          <w:rFonts w:ascii="Arial" w:hAnsi="Arial" w:cs="Verdana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>mo = mejor oferta</w:t>
      </w:r>
    </w:p>
    <w:p>
      <w:pPr>
        <w:pStyle w:val="Normal"/>
        <w:spacing w:lineRule="auto" w:line="240"/>
        <w:jc w:val="both"/>
        <w:rPr>
          <w:rFonts w:ascii="Arial" w:hAnsi="Arial" w:cs="Verdana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>O = valor cuantitativo de la oferta que se valora</w:t>
      </w:r>
    </w:p>
    <w:p>
      <w:pPr>
        <w:pStyle w:val="Normal"/>
        <w:spacing w:lineRule="auto" w:line="240"/>
        <w:jc w:val="both"/>
        <w:rPr>
          <w:rFonts w:ascii="Arial" w:hAnsi="Arial" w:cs="Verdana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Style w:val="Fuentedeprrafopredeter"/>
          <w:rFonts w:cs="Verdana" w:ascii="Arial" w:hAnsi="Arial"/>
          <w:i w:val="false"/>
          <w:iCs w:val="false"/>
          <w:color w:val="000000"/>
          <w:sz w:val="24"/>
          <w:szCs w:val="24"/>
          <w:shd w:fill="auto" w:val="clear"/>
        </w:rPr>
        <w:tab/>
        <w:t>Se darán puntos por cada material ponderándolo individualmente como se indica en el Anexo I, del sumatorio de puntos individuales se obtendrá la puntuación final de cada licitador</w:t>
      </w:r>
    </w:p>
    <w:p>
      <w:pPr>
        <w:pStyle w:val="Normal"/>
        <w:spacing w:lineRule="auto" w:line="240"/>
        <w:jc w:val="both"/>
        <w:rPr>
          <w:rStyle w:val="Fuentedeprrafopredeter"/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Style w:val="Fuentedeprrafopredeter"/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object w:dxaOrig="16641" w:dyaOrig="486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23.25pt;margin-top:0pt;width:528.45pt;height:161.55pt;mso-wrap-distance-right:0pt;mso-position-horizontal-relative:text;mso-position-vertical-relative:text" filled="f" o:ole="">
            <v:imagedata r:id="rId3" o:title=""/>
            <w10:wrap type="square"/>
          </v:shape>
          <o:OLEObject Type="Embed" ProgID="Excel.Sheet.12" ShapeID="ole_rId2" DrawAspect="Content" ObjectID="_2098147640" r:id="rId2"/>
        </w:object>
      </w:r>
    </w:p>
    <w:p>
      <w:pPr>
        <w:pStyle w:val="Normal"/>
        <w:spacing w:lineRule="auto" w:line="240"/>
        <w:jc w:val="both"/>
        <w:rPr>
          <w:rStyle w:val="Fuentedeprrafopredeter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Style w:val="Fuentedeprrafopredeter"/>
          <w:rFonts w:ascii="Arial" w:hAnsi="Arial"/>
          <w:sz w:val="24"/>
          <w:szCs w:val="24"/>
        </w:rPr>
        <w:t>Lote 1,  se presentaron tres licitadores obteniendo cada uno de ellos la siguiente puntuación:</w:t>
      </w:r>
    </w:p>
    <w:p>
      <w:pPr>
        <w:pStyle w:val="Normal"/>
        <w:spacing w:lineRule="auto" w:line="240"/>
        <w:jc w:val="both"/>
        <w:rPr/>
      </w:pPr>
      <w:r>
        <w:rPr>
          <w:rStyle w:val="Fuentedeprrafopredeter"/>
          <w:rFonts w:ascii="Arial" w:hAnsi="Arial"/>
          <w:sz w:val="24"/>
          <w:szCs w:val="24"/>
        </w:rPr>
        <w:t>Plus Decor Canarias SL 88,86 puntos</w:t>
      </w:r>
    </w:p>
    <w:p>
      <w:pPr>
        <w:pStyle w:val="Normal"/>
        <w:spacing w:lineRule="auto" w:line="240"/>
        <w:jc w:val="both"/>
        <w:rPr/>
      </w:pPr>
      <w:r>
        <w:rPr>
          <w:rStyle w:val="Fuentedeprrafopredeter"/>
          <w:rFonts w:ascii="Arial" w:hAnsi="Arial"/>
          <w:sz w:val="24"/>
          <w:szCs w:val="24"/>
        </w:rPr>
        <w:t>Benitez Paublete SL 85,24 puntos</w:t>
      </w:r>
    </w:p>
    <w:p>
      <w:pPr>
        <w:pStyle w:val="Normal"/>
        <w:spacing w:lineRule="auto" w:line="240"/>
        <w:jc w:val="both"/>
        <w:rPr/>
      </w:pPr>
      <w:r>
        <w:rPr>
          <w:rStyle w:val="Fuentedeprrafopredeter"/>
          <w:rFonts w:ascii="Arial" w:hAnsi="Arial"/>
          <w:sz w:val="24"/>
          <w:szCs w:val="24"/>
        </w:rPr>
        <w:t>Cris Abora SA 100 puntos</w:t>
      </w:r>
    </w:p>
    <w:p>
      <w:pPr>
        <w:pStyle w:val="Normal"/>
        <w:spacing w:lineRule="auto" w:line="240"/>
        <w:jc w:val="both"/>
        <w:rPr>
          <w:rStyle w:val="Fuentedeprrafopredeter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Style w:val="Fuentedeprrafopredeter"/>
          <w:rFonts w:ascii="Arial" w:hAnsi="Arial"/>
          <w:sz w:val="24"/>
          <w:szCs w:val="24"/>
        </w:rPr>
        <w:t xml:space="preserve"> </w:t>
      </w:r>
      <w:r>
        <w:rPr>
          <w:rStyle w:val="Fuentedeprrafopredeter"/>
          <w:rFonts w:ascii="Arial" w:hAnsi="Arial"/>
          <w:sz w:val="24"/>
          <w:szCs w:val="24"/>
        </w:rPr>
        <w:t>Obtiene la mejor puntuación  Cris Abora SA para el Lote 1.</w:t>
      </w:r>
    </w:p>
    <w:p>
      <w:pPr>
        <w:pStyle w:val="Normal"/>
        <w:spacing w:lineRule="auto" w:line="240"/>
        <w:jc w:val="both"/>
        <w:rPr>
          <w:rStyle w:val="Fuentedeprrafopredeter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Style w:val="Fuentedeprrafopredeter"/>
          <w:rFonts w:ascii="Arial" w:hAnsi="Arial"/>
          <w:sz w:val="24"/>
          <w:szCs w:val="24"/>
        </w:rPr>
        <w:t>Lote 1,  se presentaron dos licitadores obteniendo cada uno de ellos la siguiente puntuación:</w:t>
      </w:r>
    </w:p>
    <w:p>
      <w:pPr>
        <w:pStyle w:val="Normal"/>
        <w:spacing w:lineRule="auto" w:line="240"/>
        <w:jc w:val="both"/>
        <w:rPr/>
      </w:pPr>
      <w:r>
        <w:rPr>
          <w:rStyle w:val="Fuentedeprrafopredeter"/>
          <w:rFonts w:ascii="Arial" w:hAnsi="Arial"/>
          <w:sz w:val="24"/>
          <w:szCs w:val="24"/>
        </w:rPr>
        <w:t>Plus Decor Canarias SL 100 puntos</w:t>
      </w:r>
    </w:p>
    <w:p>
      <w:pPr>
        <w:pStyle w:val="Normal"/>
        <w:spacing w:lineRule="auto" w:line="240"/>
        <w:jc w:val="both"/>
        <w:rPr/>
      </w:pPr>
      <w:r>
        <w:rPr>
          <w:rStyle w:val="Fuentedeprrafopredeter"/>
          <w:rFonts w:cs="Verdana" w:ascii="Arial" w:hAnsi="Arial"/>
          <w:b w:val="false"/>
          <w:bCs w:val="false"/>
          <w:color w:val="000000"/>
          <w:spacing w:val="5"/>
          <w:sz w:val="24"/>
          <w:szCs w:val="24"/>
          <w:u w:val="none"/>
          <w:lang w:val="es-ES"/>
        </w:rPr>
        <w:t>Cris Abora SA 95,97 puntos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3.- Valoración criterios evaluables automáticamente:</w:t>
      </w:r>
    </w:p>
    <w:p>
      <w:pPr>
        <w:pStyle w:val="Normal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Una vez remitida la información por el equipo técnico, éste ha valorado las proposiciones técnicas de acuerdo a los criterios del PCAP de la siguiente manera: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NIF: B11270097 BENITEZ PAUBLETE SL:</w:t>
      </w:r>
    </w:p>
    <w:p>
      <w:pPr>
        <w:pStyle w:val="Normal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</w:t>
      </w:r>
      <w:r>
        <w:rPr>
          <w:rFonts w:ascii="Arial" w:hAnsi="Arial"/>
          <w:color w:val="000000"/>
          <w:sz w:val="24"/>
          <w:szCs w:val="24"/>
        </w:rPr>
        <w:t>Lote  1 - Bolsas de alta presión polietileno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</w:t>
      </w:r>
      <w:r>
        <w:rPr>
          <w:rFonts w:ascii="Arial" w:hAnsi="Arial"/>
          <w:color w:val="000000"/>
          <w:sz w:val="24"/>
          <w:szCs w:val="24"/>
        </w:rPr>
        <w:t>- Oferta económica    Puntuación: 85.24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NIF: A38101267 CRIS ABORA SA:</w:t>
      </w:r>
    </w:p>
    <w:p>
      <w:pPr>
        <w:pStyle w:val="Normal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Lote 1 - Bolsas de alta presión polietileno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</w:t>
      </w:r>
      <w:r>
        <w:rPr>
          <w:rFonts w:ascii="Arial" w:hAnsi="Arial"/>
          <w:color w:val="000000"/>
          <w:sz w:val="24"/>
          <w:szCs w:val="24"/>
        </w:rPr>
        <w:t>- Oferta económica   Puntuación: 100</w:t>
      </w:r>
    </w:p>
    <w:p>
      <w:pPr>
        <w:pStyle w:val="Normal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Lote 2 - Bolsas compostables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</w:t>
      </w:r>
      <w:r>
        <w:rPr>
          <w:rFonts w:ascii="Arial" w:hAnsi="Arial"/>
          <w:color w:val="000000"/>
          <w:sz w:val="24"/>
          <w:szCs w:val="24"/>
        </w:rPr>
        <w:t>- Oferta económica    Puntuación: 95.97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NIF: B76787720 PLUS DECOR CANARIAS, S.L.:</w:t>
      </w:r>
    </w:p>
    <w:p>
      <w:pPr>
        <w:pStyle w:val="Normal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Lote 1 - Bolsas de alta presión polietileno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</w:t>
      </w:r>
      <w:r>
        <w:rPr>
          <w:rFonts w:ascii="Arial" w:hAnsi="Arial"/>
          <w:color w:val="000000"/>
          <w:sz w:val="24"/>
          <w:szCs w:val="24"/>
        </w:rPr>
        <w:t>- Oferta económica    Puntuación: 88.86</w:t>
      </w:r>
    </w:p>
    <w:p>
      <w:pPr>
        <w:pStyle w:val="Normal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Lote2 - Bolsas compostables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</w:t>
      </w:r>
      <w:r>
        <w:rPr>
          <w:rFonts w:ascii="Arial" w:hAnsi="Arial"/>
          <w:color w:val="000000"/>
          <w:sz w:val="24"/>
          <w:szCs w:val="24"/>
        </w:rPr>
        <w:t>- Oferta económica   Puntuación: 100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4.- Propuesta adjudicación: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De acuerdo a la evaluación de las propuestas aportadas por los licitadores, la mesa concluye la siguiente lista ordenada de manera decreciente de puntuación de acuerdo a las puntuaciones obtenidas por los licitadores en las diferentes fases: </w:t>
      </w:r>
    </w:p>
    <w:p>
      <w:pPr>
        <w:pStyle w:val="Normal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Lote 1 - Bolsas de alta presión polietileno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Orden: 1NIF: A38101267 CRIS ABORA SA Propuesto para la adjudicación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Total puntuación: 100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Orden: 2NIF: B76787720 PLUS DECOR CANARIAS, S.L.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Total puntuación: 88.86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Orden: 3NIF: B11270097 BENITEZ PAUBLETE SL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Total puntuación: 85.24</w:t>
      </w:r>
    </w:p>
    <w:p>
      <w:pPr>
        <w:pStyle w:val="Normal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Lote 2 - Bolsas compostables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Orden: 1NIF: B76787720 PLUS DECOR CANARIAS, S.L. Propuesto para la adjudicación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Total puntuación: 100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Orden: 2NIF: A38101267 CRIS ABORA SA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Total puntuación: 95.97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left="0" w:right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0" w:right="0"/>
        <w:jc w:val="left"/>
        <w:rPr/>
      </w:pPr>
      <w:r>
        <w:rPr>
          <w:rStyle w:val="Fuentedeprrafopredeter"/>
          <w:rFonts w:eastAsia="Arial Unicode MS" w:cs="Verdana" w:ascii="Arial" w:hAnsi="Arial"/>
          <w:b w:val="false"/>
          <w:bCs w:val="false"/>
          <w:i/>
          <w:iCs/>
          <w:color w:val="000000"/>
          <w:spacing w:val="5"/>
          <w:kern w:val="2"/>
          <w:sz w:val="24"/>
          <w:szCs w:val="24"/>
          <w:u w:val="none"/>
          <w:lang w:val="es-ES" w:eastAsia="zh-CN" w:bidi="ar-SA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Yo, como Secretario, certifico con el visto bueno del Presidente: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>Manuel Ortiz Correa</w:t>
        <w:tab/>
        <w:tab/>
        <w:tab/>
        <w:tab/>
        <w:tab/>
        <w:tab/>
        <w:t>Marcos Antonio Rodríguez Santana.</w:t>
        <w:tab/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SECRETARIO</w:t>
        <w:tab/>
        <w:t>Y VOCAL</w:t>
        <w:tab/>
        <w:tab/>
        <w:tab/>
        <w:tab/>
        <w:tab/>
        <w:t>PRESIDENTE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Dª. Andamana Gaspar Sosa</w:t>
        <w:tab/>
        <w:tab/>
        <w:tab/>
        <w:tab/>
        <w:tab/>
        <w:t>D. Jose Manuel Luis Pérez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VOCAL</w:t>
        <w:tab/>
        <w:tab/>
        <w:tab/>
        <w:t xml:space="preserve"> </w:t>
        <w:tab/>
        <w:tab/>
        <w:tab/>
        <w:tab/>
        <w:tab/>
        <w:t>VOCAL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1134" w:top="3132" w:footer="1134" w:bottom="197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enter" w:pos="0" w:leader="none"/>
        <w:tab w:val="right" w:pos="9638" w:leader="none"/>
      </w:tabs>
      <w:jc w:val="both"/>
      <w:rPr>
        <w:sz w:val="16"/>
        <w:szCs w:val="16"/>
        <w:lang w:val="es-ES" w:eastAsia="es-ES"/>
      </w:rPr>
    </w:pPr>
    <w:r>
      <w:rPr>
        <w:rFonts w:eastAsia="NSimSun" w:cs="Arial" w:ascii="Liberation Serif;Times New Roman" w:hAnsi="Liberation Serif;Times New Roman"/>
        <w:i w:val="false"/>
        <w:iCs w:val="false"/>
        <w:color w:val="auto"/>
        <w:kern w:val="2"/>
        <w:sz w:val="16"/>
        <w:szCs w:val="16"/>
        <w:lang w:val="es-ES" w:eastAsia="zh-CN" w:bidi="hi-IN"/>
      </w:rPr>
      <w:t xml:space="preserve">Expediente de contratación  </w:t>
    </w:r>
    <w:r>
      <w:rPr>
        <w:rFonts w:eastAsia="NSimSun" w:cs="Arial" w:ascii="Times New Roman" w:hAnsi="Times New Roman"/>
        <w:i w:val="false"/>
        <w:iCs w:val="false"/>
        <w:color w:val="000000"/>
        <w:kern w:val="2"/>
        <w:sz w:val="20"/>
        <w:szCs w:val="16"/>
        <w:lang w:val="es-ES" w:eastAsia="zh-CN" w:bidi="hi-IN"/>
      </w:rPr>
      <w:t xml:space="preserve">   7-2025 - Suministro de bolsas</w:t>
    </w:r>
  </w:p>
  <w:p>
    <w:pPr>
      <w:pStyle w:val="Footer"/>
      <w:rPr>
        <w:sz w:val="14"/>
        <w:szCs w:val="14"/>
        <w:lang w:val="es-ES" w:eastAsia="es-ES"/>
      </w:rPr>
    </w:pPr>
    <w:r>
      <w:rPr>
        <w:sz w:val="14"/>
        <w:szCs w:val="14"/>
        <w:lang w:val="es-ES" w:eastAsia="es-ES"/>
      </w:rPr>
    </w:r>
  </w:p>
  <w:p>
    <w:pPr>
      <w:pStyle w:val="Footer"/>
      <w:rPr>
        <w:sz w:val="14"/>
        <w:szCs w:val="14"/>
        <w:lang w:val="es-ES" w:eastAsia="es-ES"/>
      </w:rPr>
    </w:pPr>
    <w:r>
      <w:rPr>
        <w:sz w:val="14"/>
        <w:szCs w:val="14"/>
        <w:lang w:val="es-ES" w:eastAsia="es-E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enter" w:pos="0" w:leader="none"/>
        <w:tab w:val="right" w:pos="9638" w:leader="none"/>
      </w:tabs>
      <w:jc w:val="both"/>
      <w:rPr>
        <w:sz w:val="16"/>
        <w:szCs w:val="16"/>
        <w:lang w:val="es-ES" w:eastAsia="es-ES"/>
      </w:rPr>
    </w:pPr>
    <w:r>
      <w:rPr>
        <w:rFonts w:eastAsia="NSimSun" w:cs="Arial" w:ascii="Liberation Serif;Times New Roman" w:hAnsi="Liberation Serif;Times New Roman"/>
        <w:i w:val="false"/>
        <w:iCs w:val="false"/>
        <w:color w:val="auto"/>
        <w:kern w:val="2"/>
        <w:sz w:val="16"/>
        <w:szCs w:val="16"/>
        <w:lang w:val="es-ES" w:eastAsia="zh-CN" w:bidi="hi-IN"/>
      </w:rPr>
      <w:t xml:space="preserve">Expediente de contratación  </w:t>
    </w:r>
    <w:r>
      <w:rPr>
        <w:rFonts w:eastAsia="NSimSun" w:cs="Arial" w:ascii="Times New Roman" w:hAnsi="Times New Roman"/>
        <w:i w:val="false"/>
        <w:iCs w:val="false"/>
        <w:color w:val="000000"/>
        <w:kern w:val="2"/>
        <w:sz w:val="20"/>
        <w:szCs w:val="16"/>
        <w:lang w:val="es-ES" w:eastAsia="zh-CN" w:bidi="hi-IN"/>
      </w:rPr>
      <w:t xml:space="preserve">   7-2025 - Suministro de bolsas</w:t>
    </w:r>
  </w:p>
  <w:p>
    <w:pPr>
      <w:pStyle w:val="Footer"/>
      <w:rPr>
        <w:sz w:val="14"/>
        <w:szCs w:val="14"/>
        <w:lang w:val="es-ES" w:eastAsia="es-ES"/>
      </w:rPr>
    </w:pPr>
    <w:r>
      <w:rPr>
        <w:sz w:val="14"/>
        <w:szCs w:val="14"/>
        <w:lang w:val="es-ES" w:eastAsia="es-ES"/>
      </w:rPr>
    </w:r>
  </w:p>
  <w:p>
    <w:pPr>
      <w:pStyle w:val="Footer"/>
      <w:rPr>
        <w:sz w:val="14"/>
        <w:szCs w:val="14"/>
        <w:lang w:val="es-ES" w:eastAsia="es-ES"/>
      </w:rPr>
    </w:pPr>
    <w:r>
      <w:rPr>
        <w:sz w:val="14"/>
        <w:szCs w:val="14"/>
        <w:lang w:val="es-ES" w:eastAsia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203960" cy="851535"/>
          <wp:effectExtent l="0" t="0" r="0" b="0"/>
          <wp:docPr id="2" name="Imagen2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>3T/2026/SER</w:t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6180455</wp:posOffset>
          </wp:positionH>
          <wp:positionV relativeFrom="paragraph">
            <wp:posOffset>8246745</wp:posOffset>
          </wp:positionV>
          <wp:extent cx="477520" cy="930275"/>
          <wp:effectExtent l="0" t="0" r="0" b="0"/>
          <wp:wrapSquare wrapText="largest"/>
          <wp:docPr id="3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930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203960" cy="851535"/>
          <wp:effectExtent l="0" t="0" r="0" b="0"/>
          <wp:docPr id="4" name="Imagen2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>3T/2026/SER</w:t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6180455</wp:posOffset>
          </wp:positionH>
          <wp:positionV relativeFrom="paragraph">
            <wp:posOffset>8246745</wp:posOffset>
          </wp:positionV>
          <wp:extent cx="477520" cy="930275"/>
          <wp:effectExtent l="0" t="0" r="0" b="0"/>
          <wp:wrapSquare wrapText="largest"/>
          <wp:docPr id="5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930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2">
    <w:name w:val="heading 2"/>
    <w:basedOn w:val="Ttulo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Caracteresdenotafinal">
    <w:name w:val="Caracteres de nota final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mbolosdenumeracin">
    <w:name w:val="Símbolos de numeración"/>
    <w:qFormat/>
    <w:rPr/>
  </w:style>
  <w:style w:type="character" w:styleId="Fuentedeprrafopredeter">
    <w:name w:val="Fuente de párrafo predeter."/>
    <w:qFormat/>
    <w:rPr/>
  </w:style>
  <w:style w:type="character" w:styleId="Ninguno">
    <w:name w:val="Ninguno"/>
    <w:qFormat/>
    <w:rPr/>
  </w:style>
  <w:style w:type="character" w:styleId="Textoennegrita">
    <w:name w:val="Texto en negrita"/>
    <w:basedOn w:val="Fuentedeprrafopredeter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ceraypieuser">
    <w:name w:val="Cabecera y pi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user"/>
    <w:pPr>
      <w:suppressLineNumbers/>
    </w:pPr>
    <w:rPr/>
  </w:style>
  <w:style w:type="paragraph" w:styleId="EndnoteText">
    <w:name w:val="endnote text"/>
    <w:basedOn w:val="Normal"/>
    <w:pPr>
      <w:suppressLineNumbers/>
      <w:ind w:hanging="339" w:left="339" w:right="0"/>
    </w:pPr>
    <w:rPr>
      <w:sz w:val="20"/>
      <w:szCs w:val="20"/>
    </w:rPr>
  </w:style>
  <w:style w:type="paragraph" w:styleId="Footer">
    <w:name w:val="footer"/>
    <w:basedOn w:val="Cabeceraypieuser"/>
    <w:pPr>
      <w:suppressLineNumbers/>
    </w:pPr>
    <w:rPr/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0"/>
      <w:lang w:val="es-ES" w:eastAsia="zh-CN" w:bidi="ar-SA"/>
    </w:rPr>
  </w:style>
  <w:style w:type="paragraph" w:styleId="TableParagraph">
    <w:name w:val="Table Paragraph"/>
    <w:basedOn w:val="Normal"/>
    <w:qFormat/>
    <w:pPr>
      <w:widowControl w:val="false"/>
      <w:suppressAutoHyphens w:val="false"/>
    </w:pPr>
    <w:rPr>
      <w:rFonts w:ascii="Arial" w:hAnsi="Arial" w:eastAsia="Arial" w:cs="Arial"/>
      <w:kern w:val="0"/>
      <w:sz w:val="22"/>
      <w:szCs w:val="22"/>
      <w:lang w:bidi="ar-SA"/>
    </w:rPr>
  </w:style>
  <w:style w:type="paragraph" w:styleId="BodyTextIndent">
    <w:name w:val="Body Text Indent"/>
    <w:basedOn w:val="Normal"/>
    <w:pPr>
      <w:ind w:left="708"/>
      <w:jc w:val="both"/>
    </w:pPr>
    <w:rPr>
      <w:rFonts w:ascii="Arial" w:hAnsi="Arial" w:eastAsia="unknown"/>
      <w:color w:val="000000"/>
      <w:sz w:val="26"/>
    </w:rPr>
  </w:style>
  <w:style w:type="paragraph" w:styleId="Ttulodelatablauser">
    <w:name w:val="Título de la tabla (user)"/>
    <w:basedOn w:val="Contenidodelatablauser"/>
    <w:qFormat/>
    <w:pPr>
      <w:jc w:val="center"/>
    </w:pPr>
    <w:rPr>
      <w:rFonts w:ascii="Arial" w:hAnsi="Arial" w:eastAsia="unknown"/>
      <w:b/>
      <w:bCs/>
      <w:color w:val="000000"/>
      <w:sz w:val="24"/>
    </w:rPr>
  </w:style>
  <w:style w:type="paragraph" w:styleId="Contenidodelmarco">
    <w:name w:val="Contenido del marc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340</TotalTime>
  <Application>LibreOffice/24.8.7.2$Windows_X86_64 LibreOffice_project/e07d0a63a46349d29051da79b1fde8160bab2a89</Application>
  <AppVersion>15.0000</AppVersion>
  <Pages>8</Pages>
  <Words>829</Words>
  <Characters>4678</Characters>
  <CharactersWithSpaces>5544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2026-06-22T13:04:03Z</dcterms:created>
  <dc:creator/>
  <dc:description/>
  <dc:language>es-ES</dc:language>
  <cp:lastModifiedBy/>
  <cp:lastPrinted>2022-04-19T09:50:56Z</cp:lastPrinted>
  <dcterms:modified xsi:type="dcterms:W3CDTF">2026-01-27T16:50:04Z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